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4917"/>
        <w:gridCol w:w="4917"/>
      </w:tblGrid>
      <w:tr w:rsidR="005B6C08">
        <w:trPr>
          <w:jc w:val="center"/>
        </w:trPr>
        <w:tc>
          <w:tcPr>
            <w:tcW w:w="4917" w:type="dxa"/>
            <w:tcMar>
              <w:top w:w="50" w:type="dxa"/>
              <w:left w:w="80" w:type="dxa"/>
              <w:bottom w:w="50" w:type="dxa"/>
              <w:right w:w="80" w:type="dxa"/>
            </w:tcMar>
            <w:vAlign w:val="center"/>
          </w:tcPr>
          <w:p w:rsidR="005B6C08" w:rsidRDefault="009D539A">
            <w:bookmarkStart w:id="0" w:name="_GoBack"/>
            <w:bookmarkEnd w:id="0"/>
            <w:r>
              <w:rPr>
                <w:noProof/>
                <w:lang w:val="en-GB" w:eastAsia="en-GB"/>
              </w:rPr>
              <w:drawing>
                <wp:inline distT="0" distB="0" distL="0" distR="0">
                  <wp:extent cx="1078992" cy="10789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omhill_logo.png"/>
                          <pic:cNvPicPr/>
                        </pic:nvPicPr>
                        <pic:blipFill>
                          <a:blip r:embed="rId8"/>
                          <a:stretch>
                            <a:fillRect/>
                          </a:stretch>
                        </pic:blipFill>
                        <pic:spPr>
                          <a:xfrm>
                            <a:off x="0" y="0"/>
                            <a:ext cx="1078992" cy="1078992"/>
                          </a:xfrm>
                          <a:prstGeom prst="rect">
                            <a:avLst/>
                          </a:prstGeom>
                        </pic:spPr>
                      </pic:pic>
                    </a:graphicData>
                  </a:graphic>
                </wp:inline>
              </w:drawing>
            </w:r>
          </w:p>
        </w:tc>
        <w:tc>
          <w:tcPr>
            <w:tcW w:w="4917" w:type="dxa"/>
            <w:tcMar>
              <w:top w:w="50" w:type="dxa"/>
              <w:left w:w="80" w:type="dxa"/>
              <w:bottom w:w="50" w:type="dxa"/>
              <w:right w:w="80" w:type="dxa"/>
            </w:tcMar>
          </w:tcPr>
          <w:p w:rsidR="005B6C08" w:rsidRDefault="009D539A">
            <w:pPr>
              <w:pStyle w:val="Title"/>
            </w:pPr>
            <w:r>
              <w:t>Broomhill Infant and Nursery School</w:t>
            </w:r>
          </w:p>
          <w:p w:rsidR="005B6C08" w:rsidRDefault="009D539A">
            <w:r>
              <w:rPr>
                <w:b/>
                <w:sz w:val="38"/>
              </w:rPr>
              <w:t>SEND Policy and SEN Information Report</w:t>
            </w:r>
          </w:p>
          <w:p w:rsidR="005B6C08" w:rsidRDefault="009D539A">
            <w:r>
              <w:rPr>
                <w:b/>
                <w:sz w:val="26"/>
              </w:rPr>
              <w:t>September 2026</w:t>
            </w:r>
          </w:p>
        </w:tc>
      </w:tr>
    </w:tbl>
    <w:p w:rsidR="005B6C08" w:rsidRDefault="009D539A">
      <w:pPr>
        <w:spacing w:before="240" w:after="240"/>
        <w:jc w:val="center"/>
      </w:pPr>
      <w:r>
        <w:rPr>
          <w:b/>
          <w:color w:val="3F6F43"/>
          <w:sz w:val="24"/>
        </w:rPr>
        <w:t>NATURE  •  NURTURE  •  KNOWLEDGE</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4A0" w:firstRow="1" w:lastRow="0" w:firstColumn="1" w:lastColumn="0" w:noHBand="0" w:noVBand="1"/>
      </w:tblPr>
      <w:tblGrid>
        <w:gridCol w:w="2232"/>
        <w:gridCol w:w="7591"/>
      </w:tblGrid>
      <w:tr w:rsidR="005B6C08">
        <w:trPr>
          <w:cantSplit/>
          <w:tblHeader/>
          <w:jc w:val="center"/>
        </w:trPr>
        <w:tc>
          <w:tcPr>
            <w:tcW w:w="2304" w:type="dxa"/>
            <w:shd w:val="clear" w:color="auto" w:fill="3F6F43"/>
            <w:tcMar>
              <w:top w:w="100" w:type="dxa"/>
              <w:left w:w="110" w:type="dxa"/>
              <w:bottom w:w="100" w:type="dxa"/>
              <w:right w:w="110" w:type="dxa"/>
            </w:tcMar>
            <w:vAlign w:val="center"/>
          </w:tcPr>
          <w:p w:rsidR="005B6C08" w:rsidRDefault="009D539A">
            <w:pPr>
              <w:spacing w:after="0" w:line="250" w:lineRule="auto"/>
            </w:pPr>
            <w:r>
              <w:rPr>
                <w:b/>
                <w:color w:val="FFFFFF"/>
                <w:sz w:val="18"/>
              </w:rPr>
              <w:t>Document detail</w:t>
            </w:r>
          </w:p>
        </w:tc>
        <w:tc>
          <w:tcPr>
            <w:tcW w:w="7992" w:type="dxa"/>
            <w:shd w:val="clear" w:color="auto" w:fill="3F6F43"/>
            <w:tcMar>
              <w:top w:w="100" w:type="dxa"/>
              <w:left w:w="110" w:type="dxa"/>
              <w:bottom w:w="100" w:type="dxa"/>
              <w:right w:w="110" w:type="dxa"/>
            </w:tcMar>
            <w:vAlign w:val="center"/>
          </w:tcPr>
          <w:p w:rsidR="005B6C08" w:rsidRDefault="009D539A">
            <w:pPr>
              <w:spacing w:after="0" w:line="250" w:lineRule="auto"/>
            </w:pPr>
            <w:r>
              <w:rPr>
                <w:b/>
                <w:color w:val="FFFFFF"/>
                <w:sz w:val="18"/>
              </w:rPr>
              <w:t>Information</w:t>
            </w:r>
          </w:p>
        </w:tc>
      </w:tr>
      <w:tr w:rsidR="005B6C08">
        <w:trPr>
          <w:cantSplit/>
          <w:jc w:val="center"/>
        </w:trPr>
        <w:tc>
          <w:tcPr>
            <w:tcW w:w="2304"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Policy owner</w:t>
            </w:r>
          </w:p>
        </w:tc>
        <w:tc>
          <w:tcPr>
            <w:tcW w:w="7992"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Rebecca Symmons, SENDCo, with Hayley Farthing, Headteacher</w:t>
            </w:r>
          </w:p>
        </w:tc>
      </w:tr>
      <w:tr w:rsidR="005B6C08">
        <w:trPr>
          <w:cantSplit/>
          <w:jc w:val="center"/>
        </w:trPr>
        <w:tc>
          <w:tcPr>
            <w:tcW w:w="2304"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SEND Governor</w:t>
            </w:r>
          </w:p>
        </w:tc>
        <w:tc>
          <w:tcPr>
            <w:tcW w:w="7992"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Sapna Boden</w:t>
            </w:r>
          </w:p>
        </w:tc>
      </w:tr>
      <w:tr w:rsidR="005B6C08">
        <w:trPr>
          <w:cantSplit/>
          <w:jc w:val="center"/>
        </w:trPr>
        <w:tc>
          <w:tcPr>
            <w:tcW w:w="2304"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Approved by</w:t>
            </w:r>
          </w:p>
        </w:tc>
        <w:tc>
          <w:tcPr>
            <w:tcW w:w="7992"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Governing Body</w:t>
            </w:r>
          </w:p>
        </w:tc>
      </w:tr>
      <w:tr w:rsidR="005B6C08">
        <w:trPr>
          <w:cantSplit/>
          <w:jc w:val="center"/>
        </w:trPr>
        <w:tc>
          <w:tcPr>
            <w:tcW w:w="2304"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Approval date</w:t>
            </w:r>
          </w:p>
        </w:tc>
        <w:tc>
          <w:tcPr>
            <w:tcW w:w="7992"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September 2026</w:t>
            </w:r>
          </w:p>
        </w:tc>
      </w:tr>
      <w:tr w:rsidR="005B6C08">
        <w:trPr>
          <w:cantSplit/>
          <w:jc w:val="center"/>
        </w:trPr>
        <w:tc>
          <w:tcPr>
            <w:tcW w:w="2304"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Next review</w:t>
            </w:r>
          </w:p>
        </w:tc>
        <w:tc>
          <w:tcPr>
            <w:tcW w:w="7992"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September 2027, or sooner if legislation, guidance or school arrangements change</w:t>
            </w:r>
          </w:p>
        </w:tc>
      </w:tr>
      <w:tr w:rsidR="005B6C08">
        <w:trPr>
          <w:cantSplit/>
          <w:jc w:val="center"/>
        </w:trPr>
        <w:tc>
          <w:tcPr>
            <w:tcW w:w="2304"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Applies to</w:t>
            </w:r>
          </w:p>
        </w:tc>
        <w:tc>
          <w:tcPr>
            <w:tcW w:w="7992"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Nursery, Reception, Years 1 and 2, the school-led Inclusion Base and wraparound provision</w:t>
            </w:r>
          </w:p>
        </w:tc>
      </w:tr>
      <w:tr w:rsidR="005B6C08">
        <w:trPr>
          <w:cantSplit/>
          <w:jc w:val="center"/>
        </w:trPr>
        <w:tc>
          <w:tcPr>
            <w:tcW w:w="2304"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Publication</w:t>
            </w:r>
          </w:p>
        </w:tc>
        <w:tc>
          <w:tcPr>
            <w:tcW w:w="7992"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Published on the school website and available in accessible formats on request</w:t>
            </w:r>
          </w:p>
        </w:tc>
      </w:tr>
      <w:tr w:rsidR="005B6C08">
        <w:trPr>
          <w:cantSplit/>
          <w:jc w:val="center"/>
        </w:trPr>
        <w:tc>
          <w:tcPr>
            <w:tcW w:w="2304"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Read alongside</w:t>
            </w:r>
          </w:p>
        </w:tc>
        <w:tc>
          <w:tcPr>
            <w:tcW w:w="7992"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 xml:space="preserve">Accessibility Plan; Admissions; Attendance; Behaviour; Equality; Mental Health and Wellbeing; Medical Conditions; Safeguarding and Child Protection; </w:t>
            </w:r>
            <w:r>
              <w:rPr>
                <w:sz w:val="18"/>
              </w:rPr>
              <w:t>Teaching and Learning; Complaints; Data Protection</w:t>
            </w:r>
          </w:p>
        </w:tc>
      </w:tr>
    </w:tbl>
    <w:p w:rsidR="005B6C08" w:rsidRDefault="005B6C08">
      <w:pPr>
        <w:spacing w:after="0"/>
      </w:pPr>
    </w:p>
    <w:p w:rsidR="005B6C08" w:rsidRDefault="009D539A">
      <w:pPr>
        <w:pStyle w:val="Heading1"/>
      </w:pPr>
      <w:r>
        <w:t>Purpose of this document</w:t>
      </w:r>
    </w:p>
    <w:p w:rsidR="005B6C08" w:rsidRDefault="009D539A">
      <w:r>
        <w:t>This combined document explains Broomhill Infant and Nursery School’s policy for identifying and meeting special educational needs and disabilities and provides the statutory SEN</w:t>
      </w:r>
      <w:r>
        <w:t xml:space="preserve"> information report for families. It describes what children and families can expect, who is responsible, how provision is reviewed and how concerns can be raised.</w:t>
      </w:r>
    </w:p>
    <w:p w:rsidR="005B6C08" w:rsidRDefault="009D539A">
      <w:r>
        <w:t>Broomhill is a receiving school and a school of hope. We begin with belonging, strengths, co</w:t>
      </w:r>
      <w:r>
        <w:t>mmunication and ambitious expectations. Provision is based on need rather than diagnosis, and children remain members of their mainstream class and wider school community while accessing targeted or specialist support when this helps them meet agreed outco</w:t>
      </w:r>
      <w:r>
        <w:t>mes.</w:t>
      </w:r>
    </w:p>
    <w:p w:rsidR="005B6C08" w:rsidRDefault="009D539A">
      <w:r>
        <w:br w:type="page"/>
      </w:r>
    </w:p>
    <w:p w:rsidR="005B6C08" w:rsidRDefault="009D539A">
      <w:pPr>
        <w:pStyle w:val="Heading1"/>
      </w:pPr>
      <w:r>
        <w:lastRenderedPageBreak/>
        <w:t>Contents</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4A0" w:firstRow="1" w:lastRow="0" w:firstColumn="1" w:lastColumn="0" w:noHBand="0" w:noVBand="1"/>
      </w:tblPr>
      <w:tblGrid>
        <w:gridCol w:w="2437"/>
        <w:gridCol w:w="7386"/>
      </w:tblGrid>
      <w:tr w:rsidR="005B6C08">
        <w:trPr>
          <w:cantSplit/>
          <w:tblHeader/>
          <w:jc w:val="center"/>
        </w:trPr>
        <w:tc>
          <w:tcPr>
            <w:tcW w:w="2520" w:type="dxa"/>
            <w:shd w:val="clear" w:color="auto" w:fill="3F6F43"/>
            <w:tcMar>
              <w:top w:w="100" w:type="dxa"/>
              <w:left w:w="110" w:type="dxa"/>
              <w:bottom w:w="100" w:type="dxa"/>
              <w:right w:w="110" w:type="dxa"/>
            </w:tcMar>
            <w:vAlign w:val="center"/>
          </w:tcPr>
          <w:p w:rsidR="005B6C08" w:rsidRDefault="009D539A">
            <w:pPr>
              <w:spacing w:after="0" w:line="250" w:lineRule="auto"/>
            </w:pPr>
            <w:r>
              <w:rPr>
                <w:b/>
                <w:color w:val="FFFFFF"/>
                <w:sz w:val="18"/>
              </w:rPr>
              <w:t>Part</w:t>
            </w:r>
          </w:p>
        </w:tc>
        <w:tc>
          <w:tcPr>
            <w:tcW w:w="7776" w:type="dxa"/>
            <w:shd w:val="clear" w:color="auto" w:fill="3F6F43"/>
            <w:tcMar>
              <w:top w:w="100" w:type="dxa"/>
              <w:left w:w="110" w:type="dxa"/>
              <w:bottom w:w="100" w:type="dxa"/>
              <w:right w:w="110" w:type="dxa"/>
            </w:tcMar>
            <w:vAlign w:val="center"/>
          </w:tcPr>
          <w:p w:rsidR="005B6C08" w:rsidRDefault="009D539A">
            <w:pPr>
              <w:spacing w:after="0" w:line="250" w:lineRule="auto"/>
            </w:pPr>
            <w:r>
              <w:rPr>
                <w:b/>
                <w:color w:val="FFFFFF"/>
                <w:sz w:val="18"/>
              </w:rPr>
              <w:t>Sections</w:t>
            </w:r>
          </w:p>
        </w:tc>
      </w:tr>
      <w:tr w:rsidR="005B6C08">
        <w:trPr>
          <w:cantSplit/>
          <w:jc w:val="center"/>
        </w:trPr>
        <w:tc>
          <w:tcPr>
            <w:tcW w:w="2520"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Part A  SEND Policy</w:t>
            </w:r>
          </w:p>
        </w:tc>
        <w:tc>
          <w:tcPr>
            <w:tcW w:w="7776"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1 Aims and principles  •  2 Legal framework  •  3 Definitions  •  4 Leadership and responsibilities  •  5 Graduated approach  •  6 EHC plans and funding  •  7 Inclusion Base  •  8 Safeguarding equality and</w:t>
            </w:r>
            <w:r>
              <w:rPr>
                <w:sz w:val="18"/>
              </w:rPr>
              <w:t xml:space="preserve"> data  •  9 Monitoring and review</w:t>
            </w:r>
          </w:p>
        </w:tc>
      </w:tr>
      <w:tr w:rsidR="005B6C08">
        <w:trPr>
          <w:cantSplit/>
          <w:jc w:val="center"/>
        </w:trPr>
        <w:tc>
          <w:tcPr>
            <w:tcW w:w="2520"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Part B  SEN Information Report</w:t>
            </w:r>
          </w:p>
        </w:tc>
        <w:tc>
          <w:tcPr>
            <w:tcW w:w="7776"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10 Needs supported  •  11 Identification  •  12 Family and pupil participation  •  13 Teaching and provision  •  14 Curriculum and environment  •  15 Expertise and agencies  •  16 Progress a</w:t>
            </w:r>
            <w:r>
              <w:rPr>
                <w:sz w:val="18"/>
              </w:rPr>
              <w:t>nd impact  •  17 Inclusion wellbeing and attendance  •  18 Transitions  •  19 Equipment and facilities  •  20 Complaints and contacts  •  21 Local Offer</w:t>
            </w:r>
          </w:p>
        </w:tc>
      </w:tr>
      <w:tr w:rsidR="005B6C08">
        <w:trPr>
          <w:cantSplit/>
          <w:jc w:val="center"/>
        </w:trPr>
        <w:tc>
          <w:tcPr>
            <w:tcW w:w="2520"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Appendices</w:t>
            </w:r>
          </w:p>
        </w:tc>
        <w:tc>
          <w:tcPr>
            <w:tcW w:w="7776"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A Graduated response  •  B Provision at Broomhill  •  C Key references</w:t>
            </w:r>
          </w:p>
        </w:tc>
      </w:tr>
    </w:tbl>
    <w:p w:rsidR="005B6C08" w:rsidRDefault="005B6C08">
      <w:pPr>
        <w:spacing w:after="0"/>
      </w:pPr>
    </w:p>
    <w:p w:rsidR="005B6C08" w:rsidRDefault="009D539A">
      <w:pPr>
        <w:pStyle w:val="Heading1"/>
      </w:pPr>
      <w:r>
        <w:t xml:space="preserve">Part A  SEND </w:t>
      </w:r>
      <w:r>
        <w:t>Policy</w:t>
      </w:r>
    </w:p>
    <w:p w:rsidR="005B6C08" w:rsidRDefault="009D539A">
      <w:pPr>
        <w:pStyle w:val="Heading1"/>
      </w:pPr>
      <w:r>
        <w:t>1  Aims and principles</w:t>
      </w:r>
    </w:p>
    <w:p w:rsidR="005B6C08" w:rsidRDefault="009D539A">
      <w:pPr>
        <w:pStyle w:val="ListBullet"/>
      </w:pPr>
      <w:r>
        <w:t>Identify needs early and respond promptly through inclusive and adaptive teaching.</w:t>
      </w:r>
    </w:p>
    <w:p w:rsidR="005B6C08" w:rsidRDefault="009D539A">
      <w:pPr>
        <w:pStyle w:val="ListBullet"/>
      </w:pPr>
      <w:r>
        <w:t>Provide a clear graduated response of assess, plan, do and review, informed by child and family voice.</w:t>
      </w:r>
    </w:p>
    <w:p w:rsidR="005B6C08" w:rsidRDefault="009D539A">
      <w:pPr>
        <w:pStyle w:val="ListBullet"/>
      </w:pPr>
      <w:r>
        <w:t xml:space="preserve">Ensure every child participates </w:t>
      </w:r>
      <w:r>
        <w:t>meaningfully in school life and receives reasonable adjustments.</w:t>
      </w:r>
    </w:p>
    <w:p w:rsidR="005B6C08" w:rsidRDefault="009D539A">
      <w:pPr>
        <w:pStyle w:val="ListBullet"/>
      </w:pPr>
      <w:r>
        <w:t>Secure ambitious, personal outcomes in learning, communication, independence, wellbeing, relationships and participation.</w:t>
      </w:r>
    </w:p>
    <w:p w:rsidR="005B6C08" w:rsidRDefault="009D539A">
      <w:pPr>
        <w:pStyle w:val="ListBullet"/>
      </w:pPr>
      <w:r>
        <w:t xml:space="preserve">Use resources transparently and evaluate whether provision is making </w:t>
      </w:r>
      <w:r>
        <w:t>a difference.</w:t>
      </w:r>
    </w:p>
    <w:p w:rsidR="005B6C08" w:rsidRDefault="009D539A">
      <w:pPr>
        <w:pStyle w:val="ListBullet"/>
      </w:pPr>
      <w:r>
        <w:t>Work in partnership with families, health, social care, the local authority and voluntary organisations.</w:t>
      </w:r>
    </w:p>
    <w:p w:rsidR="005B6C08" w:rsidRDefault="009D539A">
      <w:pPr>
        <w:pStyle w:val="ListBullet"/>
      </w:pPr>
      <w:r>
        <w:t>Prepare children carefully for transitions and future learning.</w:t>
      </w:r>
    </w:p>
    <w:p w:rsidR="005B6C08" w:rsidRDefault="009D539A">
      <w:pPr>
        <w:pStyle w:val="ListBullet"/>
      </w:pPr>
      <w:r>
        <w:t>Ensure staff have the knowledge, supervision and specialist support neede</w:t>
      </w:r>
      <w:r>
        <w:t>d for the children they teach.</w:t>
      </w:r>
    </w:p>
    <w:p w:rsidR="005B6C08" w:rsidRDefault="009D539A">
      <w:r>
        <w:t>Our practice is needs-led. A diagnosis is not required before support begins, and a diagnosis does not automatically mean that a child has SEN. English as an additional language, attendance, changes in family circumstances, h</w:t>
      </w:r>
      <w:r>
        <w:t>ealth, trauma or disadvantage are considered carefully and are not assumed to be SEN, although they may coexist with it.</w:t>
      </w:r>
    </w:p>
    <w:p w:rsidR="005B6C08" w:rsidRDefault="009D539A">
      <w:pPr>
        <w:pStyle w:val="Heading1"/>
      </w:pPr>
      <w:r>
        <w:t>2  Legal framework</w:t>
      </w:r>
    </w:p>
    <w:p w:rsidR="005B6C08" w:rsidRDefault="009D539A">
      <w:r>
        <w:t>This policy and report have been written with regard to the current statutory framework for England, including:</w:t>
      </w:r>
    </w:p>
    <w:p w:rsidR="005B6C08" w:rsidRDefault="009D539A">
      <w:pPr>
        <w:pStyle w:val="ListBullet"/>
      </w:pPr>
      <w:r>
        <w:t>Chil</w:t>
      </w:r>
      <w:r>
        <w:t>dren and Families Act 2014, Part 3.</w:t>
      </w:r>
    </w:p>
    <w:p w:rsidR="005B6C08" w:rsidRDefault="009D539A">
      <w:pPr>
        <w:pStyle w:val="ListBullet"/>
      </w:pPr>
      <w:r>
        <w:t>SEND Code of Practice 0 to 25 years, statutory guidance.</w:t>
      </w:r>
    </w:p>
    <w:p w:rsidR="005B6C08" w:rsidRDefault="009D539A">
      <w:pPr>
        <w:pStyle w:val="ListBullet"/>
      </w:pPr>
      <w:r>
        <w:t>Special Educational Needs and Disability Regulations 2014, including the requirements for SENCOs, EHC plans and the SEN information report.</w:t>
      </w:r>
    </w:p>
    <w:p w:rsidR="005B6C08" w:rsidRDefault="009D539A">
      <w:pPr>
        <w:pStyle w:val="ListBullet"/>
      </w:pPr>
      <w:r>
        <w:t>Equality Act 2010, incl</w:t>
      </w:r>
      <w:r>
        <w:t>uding the duty to make reasonable adjustments and avoid disability discrimination.</w:t>
      </w:r>
    </w:p>
    <w:p w:rsidR="005B6C08" w:rsidRDefault="009D539A">
      <w:pPr>
        <w:pStyle w:val="ListBullet"/>
      </w:pPr>
      <w:r>
        <w:t>Education Act 1996 and the School Admissions Code, where relevant.</w:t>
      </w:r>
    </w:p>
    <w:p w:rsidR="005B6C08" w:rsidRDefault="009D539A">
      <w:pPr>
        <w:pStyle w:val="ListBullet"/>
      </w:pPr>
      <w:r>
        <w:t>Early Years Foundation Stage statutory framework.</w:t>
      </w:r>
    </w:p>
    <w:p w:rsidR="005B6C08" w:rsidRDefault="009D539A">
      <w:pPr>
        <w:pStyle w:val="ListBullet"/>
      </w:pPr>
      <w:r>
        <w:t>Supporting pupils at school with medical conditions stat</w:t>
      </w:r>
      <w:r>
        <w:t>utory guidance.</w:t>
      </w:r>
    </w:p>
    <w:p w:rsidR="005B6C08" w:rsidRDefault="009D539A">
      <w:pPr>
        <w:pStyle w:val="ListBullet"/>
      </w:pPr>
      <w:r>
        <w:t>Keeping Children Safe in Education and Working Together to Safeguard Children.</w:t>
      </w:r>
    </w:p>
    <w:p w:rsidR="005B6C08" w:rsidRDefault="009D539A">
      <w:pPr>
        <w:pStyle w:val="ListBullet"/>
      </w:pPr>
      <w:r>
        <w:t>Working Together to Improve School Attendance.</w:t>
      </w:r>
    </w:p>
    <w:p w:rsidR="005B6C08" w:rsidRDefault="009D539A">
      <w:r>
        <w:t>The SEND Code of Practice remains the principal statutory guidance. Since September 2024, the National Professiona</w:t>
      </w:r>
      <w:r>
        <w:t>l Qualification for SENCOs has been the mandatory qualification for newly appointed SENCOs, with the statutory completion period applying. Existing recognised SENCO qualifications remain valid under the transitional arrangements.</w:t>
      </w:r>
    </w:p>
    <w:p w:rsidR="005B6C08" w:rsidRDefault="009D539A">
      <w:pPr>
        <w:pStyle w:val="Heading1"/>
      </w:pPr>
      <w:r>
        <w:lastRenderedPageBreak/>
        <w:t>3  Definitions</w:t>
      </w:r>
    </w:p>
    <w:p w:rsidR="005B6C08" w:rsidRDefault="009D539A">
      <w:r>
        <w:t>A child has</w:t>
      </w:r>
      <w:r>
        <w:t xml:space="preserve"> special educational needs if they have a learning difficulty or disability that calls for special educational provision to be made. A child has a learning difficulty or disability if they have significantly greater difficulty in learning than most others </w:t>
      </w:r>
      <w:r>
        <w:t>of the same age, or a disability that prevents or hinders them from making use of facilities generally provided for children of the same age in mainstream settings.</w:t>
      </w:r>
    </w:p>
    <w:p w:rsidR="005B6C08" w:rsidRDefault="009D539A">
      <w:r>
        <w:t>Special educational provision is educational or training provision that is additional to or</w:t>
      </w:r>
      <w:r>
        <w:t xml:space="preserve"> different from the provision made generally for children of the same age. Disability has the meaning given by the Equality Act 2010. Some disabled children have SEN and some do not; reasonable adjustments are made whether or not a child is on the SEN regi</w:t>
      </w:r>
      <w:r>
        <w:t>ster.</w:t>
      </w:r>
    </w:p>
    <w:p w:rsidR="005B6C08" w:rsidRDefault="009D539A">
      <w:pPr>
        <w:pStyle w:val="Heading1"/>
      </w:pPr>
      <w:r>
        <w:t>4  Leadership and responsibilities</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4A0" w:firstRow="1" w:lastRow="0" w:firstColumn="1" w:lastColumn="0" w:noHBand="0" w:noVBand="1"/>
      </w:tblPr>
      <w:tblGrid>
        <w:gridCol w:w="2504"/>
        <w:gridCol w:w="7319"/>
      </w:tblGrid>
      <w:tr w:rsidR="005B6C08">
        <w:trPr>
          <w:cantSplit/>
          <w:tblHeader/>
          <w:jc w:val="center"/>
        </w:trPr>
        <w:tc>
          <w:tcPr>
            <w:tcW w:w="2592" w:type="dxa"/>
            <w:shd w:val="clear" w:color="auto" w:fill="3F6F43"/>
            <w:tcMar>
              <w:top w:w="100" w:type="dxa"/>
              <w:left w:w="110" w:type="dxa"/>
              <w:bottom w:w="100" w:type="dxa"/>
              <w:right w:w="110" w:type="dxa"/>
            </w:tcMar>
            <w:vAlign w:val="center"/>
          </w:tcPr>
          <w:p w:rsidR="005B6C08" w:rsidRDefault="009D539A">
            <w:pPr>
              <w:spacing w:after="0" w:line="250" w:lineRule="auto"/>
            </w:pPr>
            <w:r>
              <w:rPr>
                <w:b/>
                <w:color w:val="FFFFFF"/>
                <w:sz w:val="18"/>
              </w:rPr>
              <w:t>Role</w:t>
            </w:r>
          </w:p>
        </w:tc>
        <w:tc>
          <w:tcPr>
            <w:tcW w:w="7704" w:type="dxa"/>
            <w:shd w:val="clear" w:color="auto" w:fill="3F6F43"/>
            <w:tcMar>
              <w:top w:w="100" w:type="dxa"/>
              <w:left w:w="110" w:type="dxa"/>
              <w:bottom w:w="100" w:type="dxa"/>
              <w:right w:w="110" w:type="dxa"/>
            </w:tcMar>
            <w:vAlign w:val="center"/>
          </w:tcPr>
          <w:p w:rsidR="005B6C08" w:rsidRDefault="009D539A">
            <w:pPr>
              <w:spacing w:after="0" w:line="250" w:lineRule="auto"/>
            </w:pPr>
            <w:r>
              <w:rPr>
                <w:b/>
                <w:color w:val="FFFFFF"/>
                <w:sz w:val="18"/>
              </w:rPr>
              <w:t>Responsibilities</w:t>
            </w:r>
          </w:p>
        </w:tc>
      </w:tr>
      <w:tr w:rsidR="005B6C08">
        <w:trPr>
          <w:cantSplit/>
          <w:jc w:val="center"/>
        </w:trPr>
        <w:tc>
          <w:tcPr>
            <w:tcW w:w="2592"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7"/>
              </w:rPr>
              <w:t>Governing Body</w:t>
            </w:r>
          </w:p>
        </w:tc>
        <w:tc>
          <w:tcPr>
            <w:tcW w:w="7704"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7"/>
              </w:rPr>
              <w:t>Ensure statutory duties are met; approve policy; scrutinise provision, outcomes, equality, accessibility and use of resources; ensure the SENDCo has sufficient time and support.</w:t>
            </w:r>
          </w:p>
        </w:tc>
      </w:tr>
      <w:tr w:rsidR="005B6C08">
        <w:trPr>
          <w:cantSplit/>
          <w:jc w:val="center"/>
        </w:trPr>
        <w:tc>
          <w:tcPr>
            <w:tcW w:w="2592"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7"/>
              </w:rPr>
              <w:t>SEND Governor  Sapna Boden</w:t>
            </w:r>
          </w:p>
        </w:tc>
        <w:tc>
          <w:tcPr>
            <w:tcW w:w="7704"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7"/>
              </w:rPr>
              <w:t>Meet the SENDCo; provide support and challenge; monitor the quality and impact of provision; report to the Governing Body without identifying individual children.</w:t>
            </w:r>
          </w:p>
        </w:tc>
      </w:tr>
      <w:tr w:rsidR="005B6C08">
        <w:trPr>
          <w:cantSplit/>
          <w:jc w:val="center"/>
        </w:trPr>
        <w:tc>
          <w:tcPr>
            <w:tcW w:w="2592"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7"/>
              </w:rPr>
              <w:t>Headteacher  Hayley Farthing</w:t>
            </w:r>
          </w:p>
        </w:tc>
        <w:tc>
          <w:tcPr>
            <w:tcW w:w="7704"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7"/>
              </w:rPr>
              <w:t xml:space="preserve">Hold overall responsibility for </w:t>
            </w:r>
            <w:r>
              <w:rPr>
                <w:sz w:val="17"/>
              </w:rPr>
              <w:t>provision and progress; establish an inclusive culture; deploy resources; ensure safeguarding, attendance, curriculum and SEND systems work together.</w:t>
            </w:r>
          </w:p>
        </w:tc>
      </w:tr>
      <w:tr w:rsidR="005B6C08">
        <w:trPr>
          <w:cantSplit/>
          <w:jc w:val="center"/>
        </w:trPr>
        <w:tc>
          <w:tcPr>
            <w:tcW w:w="2592"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7"/>
              </w:rPr>
              <w:t>SENDCo  Rebecca Symmons</w:t>
            </w:r>
          </w:p>
        </w:tc>
        <w:tc>
          <w:tcPr>
            <w:tcW w:w="7704"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7"/>
              </w:rPr>
              <w:t xml:space="preserve">Lead day-to-day operation; coordinate SEN Support and EHC plan provision; advise </w:t>
            </w:r>
            <w:r>
              <w:rPr>
                <w:sz w:val="17"/>
              </w:rPr>
              <w:t>staff; oversee records and reviews; liaise with families, professionals and next settings; support strategic development and professional learning.</w:t>
            </w:r>
          </w:p>
        </w:tc>
      </w:tr>
      <w:tr w:rsidR="005B6C08">
        <w:trPr>
          <w:cantSplit/>
          <w:jc w:val="center"/>
        </w:trPr>
        <w:tc>
          <w:tcPr>
            <w:tcW w:w="2592"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7"/>
              </w:rPr>
              <w:t>Class teachers</w:t>
            </w:r>
          </w:p>
        </w:tc>
        <w:tc>
          <w:tcPr>
            <w:tcW w:w="7704"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7"/>
              </w:rPr>
              <w:t xml:space="preserve">Remain responsible and accountable for the progress and development of every child; provide </w:t>
            </w:r>
            <w:r>
              <w:rPr>
                <w:sz w:val="17"/>
              </w:rPr>
              <w:t>inclusive and adaptive teaching; work with LSAs and specialists; implement and review Learning Plans and EHC plan provision.</w:t>
            </w:r>
          </w:p>
        </w:tc>
      </w:tr>
      <w:tr w:rsidR="005B6C08">
        <w:trPr>
          <w:cantSplit/>
          <w:jc w:val="center"/>
        </w:trPr>
        <w:tc>
          <w:tcPr>
            <w:tcW w:w="2592"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7"/>
              </w:rPr>
              <w:t>Learning Support Assistants and specialist staff</w:t>
            </w:r>
          </w:p>
        </w:tc>
        <w:tc>
          <w:tcPr>
            <w:tcW w:w="7704"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7"/>
              </w:rPr>
              <w:t xml:space="preserve">Work under teacher direction; enable participation and independence; deliver </w:t>
            </w:r>
            <w:r>
              <w:rPr>
                <w:sz w:val="17"/>
              </w:rPr>
              <w:t>agreed support accurately; observe and record response; contribute to review without replacing high-quality teaching.</w:t>
            </w:r>
          </w:p>
        </w:tc>
      </w:tr>
      <w:tr w:rsidR="005B6C08">
        <w:trPr>
          <w:cantSplit/>
          <w:jc w:val="center"/>
        </w:trPr>
        <w:tc>
          <w:tcPr>
            <w:tcW w:w="2592"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7"/>
              </w:rPr>
              <w:t>All staff</w:t>
            </w:r>
          </w:p>
        </w:tc>
        <w:tc>
          <w:tcPr>
            <w:tcW w:w="7704"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7"/>
              </w:rPr>
              <w:t xml:space="preserve">Know the children they work with, follow agreed strategies and plans, communicate concerns promptly and uphold inclusion, </w:t>
            </w:r>
            <w:r>
              <w:rPr>
                <w:sz w:val="17"/>
              </w:rPr>
              <w:t>safeguarding, confidentiality and dignity.</w:t>
            </w:r>
          </w:p>
        </w:tc>
      </w:tr>
    </w:tbl>
    <w:p w:rsidR="005B6C08" w:rsidRDefault="005B6C08">
      <w:pPr>
        <w:spacing w:after="0"/>
      </w:pPr>
    </w:p>
    <w:p w:rsidR="005B6C08" w:rsidRDefault="009D539A">
      <w:pPr>
        <w:pStyle w:val="Heading1"/>
      </w:pPr>
      <w:r>
        <w:t>5  The graduated approach</w:t>
      </w:r>
    </w:p>
    <w:p w:rsidR="005B6C08" w:rsidRDefault="009D539A">
      <w:r>
        <w:t xml:space="preserve">High-quality, inclusive and adaptive teaching is the first response. The school uses Bristol’s Ordinarily Available Provision as a reference point and follows assess, plan, do and </w:t>
      </w:r>
      <w:r>
        <w:t>review.</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4A0" w:firstRow="1" w:lastRow="0" w:firstColumn="1" w:lastColumn="0" w:noHBand="0" w:noVBand="1"/>
      </w:tblPr>
      <w:tblGrid>
        <w:gridCol w:w="1742"/>
        <w:gridCol w:w="8081"/>
      </w:tblGrid>
      <w:tr w:rsidR="005B6C08">
        <w:trPr>
          <w:cantSplit/>
          <w:tblHeader/>
          <w:jc w:val="center"/>
        </w:trPr>
        <w:tc>
          <w:tcPr>
            <w:tcW w:w="1800" w:type="dxa"/>
            <w:shd w:val="clear" w:color="auto" w:fill="3F6F43"/>
            <w:tcMar>
              <w:top w:w="100" w:type="dxa"/>
              <w:left w:w="110" w:type="dxa"/>
              <w:bottom w:w="100" w:type="dxa"/>
              <w:right w:w="110" w:type="dxa"/>
            </w:tcMar>
            <w:vAlign w:val="center"/>
          </w:tcPr>
          <w:p w:rsidR="005B6C08" w:rsidRDefault="009D539A">
            <w:pPr>
              <w:spacing w:after="0" w:line="250" w:lineRule="auto"/>
            </w:pPr>
            <w:r>
              <w:rPr>
                <w:b/>
                <w:color w:val="FFFFFF"/>
                <w:sz w:val="18"/>
              </w:rPr>
              <w:t>Stage</w:t>
            </w:r>
          </w:p>
        </w:tc>
        <w:tc>
          <w:tcPr>
            <w:tcW w:w="8496" w:type="dxa"/>
            <w:shd w:val="clear" w:color="auto" w:fill="3F6F43"/>
            <w:tcMar>
              <w:top w:w="100" w:type="dxa"/>
              <w:left w:w="110" w:type="dxa"/>
              <w:bottom w:w="100" w:type="dxa"/>
              <w:right w:w="110" w:type="dxa"/>
            </w:tcMar>
            <w:vAlign w:val="center"/>
          </w:tcPr>
          <w:p w:rsidR="005B6C08" w:rsidRDefault="009D539A">
            <w:pPr>
              <w:spacing w:after="0" w:line="250" w:lineRule="auto"/>
            </w:pPr>
            <w:r>
              <w:rPr>
                <w:b/>
                <w:color w:val="FFFFFF"/>
                <w:sz w:val="18"/>
              </w:rPr>
              <w:t>What happens</w:t>
            </w:r>
          </w:p>
        </w:tc>
      </w:tr>
      <w:tr w:rsidR="005B6C08">
        <w:trPr>
          <w:cantSplit/>
          <w:jc w:val="center"/>
        </w:trPr>
        <w:tc>
          <w:tcPr>
            <w:tcW w:w="1800"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Assess</w:t>
            </w:r>
          </w:p>
        </w:tc>
        <w:tc>
          <w:tcPr>
            <w:tcW w:w="8496"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The teacher and SENDCo bring together observations, attainment and progress, communication, development, attendance, health, wellbeing, behaviour as communication, family knowledge, child voice and relevant professional a</w:t>
            </w:r>
            <w:r>
              <w:rPr>
                <w:sz w:val="18"/>
              </w:rPr>
              <w:t>dvice.</w:t>
            </w:r>
          </w:p>
        </w:tc>
      </w:tr>
      <w:tr w:rsidR="005B6C08">
        <w:trPr>
          <w:cantSplit/>
          <w:jc w:val="center"/>
        </w:trPr>
        <w:tc>
          <w:tcPr>
            <w:tcW w:w="1800"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Plan</w:t>
            </w:r>
          </w:p>
        </w:tc>
        <w:tc>
          <w:tcPr>
            <w:tcW w:w="8496"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 xml:space="preserve">The child, family and school agree a small number of specific, meaningful outcomes, provision, responsible adults, frequency, adjustments and review date. This is recorded through INSIGHT, a Learning Plan, provision map, care plan or EHC plan </w:t>
            </w:r>
            <w:r>
              <w:rPr>
                <w:sz w:val="18"/>
              </w:rPr>
              <w:t>as appropriate.</w:t>
            </w:r>
          </w:p>
        </w:tc>
      </w:tr>
      <w:tr w:rsidR="005B6C08">
        <w:trPr>
          <w:cantSplit/>
          <w:jc w:val="center"/>
        </w:trPr>
        <w:tc>
          <w:tcPr>
            <w:tcW w:w="1800"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Do</w:t>
            </w:r>
          </w:p>
        </w:tc>
        <w:tc>
          <w:tcPr>
            <w:tcW w:w="8496"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The class teacher remains responsible. Staff implement agreed approaches consistently, connect targeted support with classroom learning and collect proportionate evidence.</w:t>
            </w:r>
          </w:p>
        </w:tc>
      </w:tr>
      <w:tr w:rsidR="005B6C08">
        <w:trPr>
          <w:cantSplit/>
          <w:jc w:val="center"/>
        </w:trPr>
        <w:tc>
          <w:tcPr>
            <w:tcW w:w="1800"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Review</w:t>
            </w:r>
          </w:p>
        </w:tc>
        <w:tc>
          <w:tcPr>
            <w:tcW w:w="8496"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 xml:space="preserve">At least termly, the school, family and child consider </w:t>
            </w:r>
            <w:r>
              <w:rPr>
                <w:sz w:val="18"/>
              </w:rPr>
              <w:t>progress toward outcomes, participation and wellbeing, what has helped, what needs to change and whether specialist advice or statutory assessment should be considered.</w:t>
            </w:r>
          </w:p>
        </w:tc>
      </w:tr>
    </w:tbl>
    <w:p w:rsidR="005B6C08" w:rsidRDefault="005B6C08">
      <w:pPr>
        <w:spacing w:after="0"/>
      </w:pPr>
    </w:p>
    <w:p w:rsidR="005B6C08" w:rsidRDefault="009D539A">
      <w:r>
        <w:lastRenderedPageBreak/>
        <w:t>A child is placed on SEN Support where, despite relevant and purposeful action, speci</w:t>
      </w:r>
      <w:r>
        <w:t>al educational provision is needed. Parents are formally informed. The register is reviewed regularly; children may move on or off it when evidence shows that needs and provision have changed.</w:t>
      </w:r>
    </w:p>
    <w:p w:rsidR="005B6C08" w:rsidRDefault="009D539A">
      <w:pPr>
        <w:pStyle w:val="Heading1"/>
      </w:pPr>
      <w:r>
        <w:t>6  Education health and care plans and funding</w:t>
      </w:r>
    </w:p>
    <w:p w:rsidR="005B6C08" w:rsidRDefault="009D539A">
      <w:r>
        <w:t xml:space="preserve">Where a child </w:t>
      </w:r>
      <w:r>
        <w:t>has or may require provision beyond the school’s normally available resources, the school works with the family and professionals to consider an education health and care needs assessment. Requests are evidence-based and include the child’s strengths, need</w:t>
      </w:r>
      <w:r>
        <w:t>s, views, outcomes sought, action already taken and impact. Parents and young people may also request an assessment directly from the local authority.</w:t>
      </w:r>
    </w:p>
    <w:p w:rsidR="005B6C08" w:rsidRDefault="009D539A">
      <w:r>
        <w:t>For children with EHC plans, the school must use its best endeavours to secure the special educational pr</w:t>
      </w:r>
      <w:r>
        <w:t>ovision in Section F. Plans are translated into accessible day-to-day arrangements and reviewed at least annually, with interim reviews when needs or circumstances change. Funding is used according to need and agreed outcomes; an EHC plan does not automati</w:t>
      </w:r>
      <w:r>
        <w:t>cally mean permanent one-to-one support.</w:t>
      </w:r>
    </w:p>
    <w:p w:rsidR="005B6C08" w:rsidRDefault="009D539A">
      <w:pPr>
        <w:pStyle w:val="Heading1"/>
      </w:pPr>
      <w:r>
        <w:t>7  School led Inclusion Base</w:t>
      </w:r>
    </w:p>
    <w:p w:rsidR="005B6C08" w:rsidRDefault="009D539A">
      <w:r>
        <w:t>Blossoms is Broomhill’s school-led Inclusion Base. It supports children with EHC plans through personalised programmes linked to the outcomes and provision in each plan. The base is part</w:t>
      </w:r>
      <w:r>
        <w:t xml:space="preserve"> of the school, not a separate school. Children belong to a mainstream class and participate across the school day in ways that are meaningful, safe and individually planned.</w:t>
      </w:r>
    </w:p>
    <w:p w:rsidR="005B6C08" w:rsidRDefault="009D539A">
      <w:r>
        <w:t>The Inclusion Base provides specialist communication, interaction, sensory, physi</w:t>
      </w:r>
      <w:r>
        <w:t>cal, regulation and learning support. Mainstream children with EHC plans may access specific interventions or facilities where this is identified through their outcomes and provision. Access is based on assessed need, not diagnosis or convenience, and is r</w:t>
      </w:r>
      <w:r>
        <w:t>eviewed with families and professionals.</w:t>
      </w:r>
    </w:p>
    <w:p w:rsidR="005B6C08" w:rsidRDefault="009D539A">
      <w:pPr>
        <w:pStyle w:val="ListBullet"/>
      </w:pPr>
      <w:r>
        <w:t>Graduated inclusion is planned around the child rather than a fixed timetable.</w:t>
      </w:r>
    </w:p>
    <w:p w:rsidR="005B6C08" w:rsidRDefault="009D539A">
      <w:pPr>
        <w:pStyle w:val="ListBullet"/>
      </w:pPr>
      <w:r>
        <w:t>Teaching uses total communication, Makaton, Widgit symbols, objects of reference, visuals and assistive approaches as needed.</w:t>
      </w:r>
    </w:p>
    <w:p w:rsidR="005B6C08" w:rsidRDefault="009D539A">
      <w:pPr>
        <w:pStyle w:val="ListBullet"/>
      </w:pPr>
      <w:r>
        <w:t xml:space="preserve">Provision </w:t>
      </w:r>
      <w:r>
        <w:t>may include Attention Autism, Intensive Interaction, sensory programmes, Rebound Therapy, Flexi Bounce, communication work, structured play and independence skills.</w:t>
      </w:r>
    </w:p>
    <w:p w:rsidR="005B6C08" w:rsidRDefault="009D539A">
      <w:pPr>
        <w:pStyle w:val="ListBullet"/>
      </w:pPr>
      <w:r>
        <w:t>Progress includes engagement, communication, regulation, physical development, independence</w:t>
      </w:r>
      <w:r>
        <w:t>, belonging, attendance and curriculum outcomes.</w:t>
      </w:r>
    </w:p>
    <w:p w:rsidR="005B6C08" w:rsidRDefault="009D539A">
      <w:pPr>
        <w:pStyle w:val="ListBullet"/>
      </w:pPr>
      <w:r>
        <w:t>Safeguarding, intimate care, health and moving-and-handling arrangements are individualised and regularly reviewed.</w:t>
      </w:r>
    </w:p>
    <w:p w:rsidR="005B6C08" w:rsidRDefault="009D539A">
      <w:pPr>
        <w:pStyle w:val="Heading1"/>
      </w:pPr>
      <w:r>
        <w:t>8  Safeguarding equality attendance and information</w:t>
      </w:r>
    </w:p>
    <w:p w:rsidR="005B6C08" w:rsidRDefault="009D539A">
      <w:r>
        <w:t xml:space="preserve">Children with SEND may face additional </w:t>
      </w:r>
      <w:r>
        <w:t>safeguarding barriers, including communication needs, dependency on adults, peer isolation, online vulnerability and behaviour being misinterpreted. Staff follow the Safeguarding and Child Protection Policy, use accessible communication and record concerns</w:t>
      </w:r>
      <w:r>
        <w:t xml:space="preserve"> on CPOMS. SEND must never be used to explain away a safeguarding concern.</w:t>
      </w:r>
    </w:p>
    <w:p w:rsidR="005B6C08" w:rsidRDefault="009D539A">
      <w:r>
        <w:t>The school meets the Public Sector Equality Duty, anticipates and makes reasonable adjustments, and implements its Accessibility Plan. Decisions about attendance, behaviour, suspens</w:t>
      </w:r>
      <w:r>
        <w:t>ion or exclusion consider disability, SEN, unmet need, reasonable adjustments and relevant statutory guidance. The school works with families to understand barriers to attendance and coordinates attendance, pastoral and SEND support.</w:t>
      </w:r>
    </w:p>
    <w:p w:rsidR="005B6C08" w:rsidRDefault="009D539A">
      <w:r>
        <w:t>SEND records are accur</w:t>
      </w:r>
      <w:r>
        <w:t>ate, proportionate, secure and shared on a need-to-know basis. Relevant information follows the child at transition with family involvement and in accordance with data protection law and safeguarding duties.</w:t>
      </w:r>
    </w:p>
    <w:p w:rsidR="005B6C08" w:rsidRDefault="009D539A">
      <w:pPr>
        <w:pStyle w:val="Heading1"/>
      </w:pPr>
      <w:r>
        <w:t>9  Monitoring review and publication</w:t>
      </w:r>
    </w:p>
    <w:p w:rsidR="005B6C08" w:rsidRDefault="009D539A">
      <w:r>
        <w:t xml:space="preserve">The SENDCo </w:t>
      </w:r>
      <w:r>
        <w:t xml:space="preserve">and leadership team monitor provision through Learning Plans, INSIGHT, provision maps, child and parent voice, Tapestry, work and learning scrutiny, observations, attendance, wellbeing, </w:t>
      </w:r>
      <w:r>
        <w:lastRenderedPageBreak/>
        <w:t>intervention evaluation, EHC plan reviews and outcomes by group. Gover</w:t>
      </w:r>
      <w:r>
        <w:t>nors receive strategic information at least termly. Evaluation focuses on impact and participation, not the amount of adult support or number of interventions.</w:t>
      </w:r>
    </w:p>
    <w:p w:rsidR="005B6C08" w:rsidRDefault="009D539A">
      <w:r>
        <w:t>The policy is reviewed annually by the SENDCo, Headteacher and SEND Governor and approved by gov</w:t>
      </w:r>
      <w:r>
        <w:t>ernors. The SEN Information Report is reviewed at least annually and updated during the year when information changes. The current version is published on the school website.</w:t>
      </w:r>
    </w:p>
    <w:p w:rsidR="005B6C08" w:rsidRDefault="009D539A">
      <w:pPr>
        <w:pStyle w:val="Heading1"/>
      </w:pPr>
      <w:r>
        <w:t>Part B  SEN Information Report</w:t>
      </w:r>
    </w:p>
    <w:p w:rsidR="005B6C08" w:rsidRDefault="009D539A">
      <w:pPr>
        <w:pStyle w:val="Heading1"/>
      </w:pPr>
      <w:r>
        <w:t>10  The kinds of need we support</w:t>
      </w:r>
    </w:p>
    <w:p w:rsidR="005B6C08" w:rsidRDefault="009D539A">
      <w:r>
        <w:t>Broomhill support</w:t>
      </w:r>
      <w:r>
        <w:t>s children across the four broad areas in the SEND Code of Practice. A child’s needs may span more than one area and can change over time.</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4A0" w:firstRow="1" w:lastRow="0" w:firstColumn="1" w:lastColumn="0" w:noHBand="0" w:noVBand="1"/>
      </w:tblPr>
      <w:tblGrid>
        <w:gridCol w:w="2857"/>
        <w:gridCol w:w="6966"/>
      </w:tblGrid>
      <w:tr w:rsidR="005B6C08">
        <w:trPr>
          <w:cantSplit/>
          <w:tblHeader/>
          <w:jc w:val="center"/>
        </w:trPr>
        <w:tc>
          <w:tcPr>
            <w:tcW w:w="2952" w:type="dxa"/>
            <w:shd w:val="clear" w:color="auto" w:fill="3F6F43"/>
            <w:tcMar>
              <w:top w:w="100" w:type="dxa"/>
              <w:left w:w="110" w:type="dxa"/>
              <w:bottom w:w="100" w:type="dxa"/>
              <w:right w:w="110" w:type="dxa"/>
            </w:tcMar>
            <w:vAlign w:val="center"/>
          </w:tcPr>
          <w:p w:rsidR="005B6C08" w:rsidRDefault="009D539A">
            <w:pPr>
              <w:spacing w:after="0" w:line="250" w:lineRule="auto"/>
            </w:pPr>
            <w:r>
              <w:rPr>
                <w:b/>
                <w:color w:val="FFFFFF"/>
                <w:sz w:val="18"/>
              </w:rPr>
              <w:t>Broad area</w:t>
            </w:r>
          </w:p>
        </w:tc>
        <w:tc>
          <w:tcPr>
            <w:tcW w:w="7344" w:type="dxa"/>
            <w:shd w:val="clear" w:color="auto" w:fill="3F6F43"/>
            <w:tcMar>
              <w:top w:w="100" w:type="dxa"/>
              <w:left w:w="110" w:type="dxa"/>
              <w:bottom w:w="100" w:type="dxa"/>
              <w:right w:w="110" w:type="dxa"/>
            </w:tcMar>
            <w:vAlign w:val="center"/>
          </w:tcPr>
          <w:p w:rsidR="005B6C08" w:rsidRDefault="009D539A">
            <w:pPr>
              <w:spacing w:after="0" w:line="250" w:lineRule="auto"/>
            </w:pPr>
            <w:r>
              <w:rPr>
                <w:b/>
                <w:color w:val="FFFFFF"/>
                <w:sz w:val="18"/>
              </w:rPr>
              <w:t>Examples of need and school response</w:t>
            </w:r>
          </w:p>
        </w:tc>
      </w:tr>
      <w:tr w:rsidR="005B6C08">
        <w:trPr>
          <w:cantSplit/>
          <w:jc w:val="center"/>
        </w:trPr>
        <w:tc>
          <w:tcPr>
            <w:tcW w:w="2952"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Communication and interaction</w:t>
            </w:r>
          </w:p>
        </w:tc>
        <w:tc>
          <w:tcPr>
            <w:tcW w:w="7344"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 xml:space="preserve">Speech, language and communication </w:t>
            </w:r>
            <w:r>
              <w:rPr>
                <w:sz w:val="18"/>
              </w:rPr>
              <w:t>needs; autism; social communication; interaction and play. This is the largest area of need in the school.</w:t>
            </w:r>
          </w:p>
        </w:tc>
      </w:tr>
      <w:tr w:rsidR="005B6C08">
        <w:trPr>
          <w:cantSplit/>
          <w:jc w:val="center"/>
        </w:trPr>
        <w:tc>
          <w:tcPr>
            <w:tcW w:w="2952"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Cognition and learning</w:t>
            </w:r>
          </w:p>
        </w:tc>
        <w:tc>
          <w:tcPr>
            <w:tcW w:w="7344"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 xml:space="preserve">General or specific learning difficulties, including difficulties with literacy, numeracy, memory, processing or learning at </w:t>
            </w:r>
            <w:r>
              <w:rPr>
                <w:sz w:val="18"/>
              </w:rPr>
              <w:t>an individual developmental level.</w:t>
            </w:r>
          </w:p>
        </w:tc>
      </w:tr>
      <w:tr w:rsidR="005B6C08">
        <w:trPr>
          <w:cantSplit/>
          <w:jc w:val="center"/>
        </w:trPr>
        <w:tc>
          <w:tcPr>
            <w:tcW w:w="2952"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Social emotional and mental health</w:t>
            </w:r>
          </w:p>
        </w:tc>
        <w:tc>
          <w:tcPr>
            <w:tcW w:w="7344"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Regulation, anxiety, attachment and trauma-related needs, attention and executive functioning, or other needs affecting emotional wellbeing and participation.</w:t>
            </w:r>
          </w:p>
        </w:tc>
      </w:tr>
      <w:tr w:rsidR="005B6C08">
        <w:trPr>
          <w:cantSplit/>
          <w:jc w:val="center"/>
        </w:trPr>
        <w:tc>
          <w:tcPr>
            <w:tcW w:w="2952"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Sensory and physical</w:t>
            </w:r>
          </w:p>
        </w:tc>
        <w:tc>
          <w:tcPr>
            <w:tcW w:w="7344"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Hearing, vision, sensory processing, physical disability, coordination, mobility and medical needs that affect access to learning.</w:t>
            </w:r>
          </w:p>
        </w:tc>
      </w:tr>
    </w:tbl>
    <w:p w:rsidR="005B6C08" w:rsidRDefault="005B6C08">
      <w:pPr>
        <w:spacing w:after="0"/>
      </w:pPr>
    </w:p>
    <w:p w:rsidR="005B6C08" w:rsidRDefault="009D539A">
      <w:pPr>
        <w:pStyle w:val="Heading1"/>
      </w:pPr>
      <w:r>
        <w:t>11  How we identify and assess need</w:t>
      </w:r>
    </w:p>
    <w:p w:rsidR="005B6C08" w:rsidRDefault="009D539A">
      <w:pPr>
        <w:pStyle w:val="ListBullet"/>
      </w:pPr>
      <w:r>
        <w:t xml:space="preserve">Gather information at admission and transition from families, previous settings and </w:t>
      </w:r>
      <w:r>
        <w:t>professionals.</w:t>
      </w:r>
    </w:p>
    <w:p w:rsidR="005B6C08" w:rsidRDefault="009D539A">
      <w:pPr>
        <w:pStyle w:val="ListBullet"/>
      </w:pPr>
      <w:r>
        <w:t>Use EYFS baseline, Reception Baseline Assessment where applicable, observation, WellComm and curriculum assessment alongside developmental information.</w:t>
      </w:r>
    </w:p>
    <w:p w:rsidR="005B6C08" w:rsidRDefault="009D539A">
      <w:pPr>
        <w:pStyle w:val="ListBullet"/>
      </w:pPr>
      <w:r>
        <w:t>Track attainment, progress, engagement, communication, independence, wellbeing and attend</w:t>
      </w:r>
      <w:r>
        <w:t>ance.</w:t>
      </w:r>
    </w:p>
    <w:p w:rsidR="005B6C08" w:rsidRDefault="009D539A">
      <w:pPr>
        <w:pStyle w:val="ListBullet"/>
      </w:pPr>
      <w:r>
        <w:t>Notice progress that is significantly slower than peers from a similar starting point, fails to match or better previous progress, or widens a gap despite appropriate teaching.</w:t>
      </w:r>
    </w:p>
    <w:p w:rsidR="005B6C08" w:rsidRDefault="009D539A">
      <w:pPr>
        <w:pStyle w:val="ListBullet"/>
      </w:pPr>
      <w:r>
        <w:t>Consider whether difficulties arise from unmet language, sensory, health,</w:t>
      </w:r>
      <w:r>
        <w:t xml:space="preserve"> attendance, safeguarding, emotional or environmental needs.</w:t>
      </w:r>
    </w:p>
    <w:p w:rsidR="005B6C08" w:rsidRDefault="009D539A">
      <w:pPr>
        <w:pStyle w:val="ListBullet"/>
      </w:pPr>
      <w:r>
        <w:t>Seek specialist advice when school assessment and ordinarily available provision do not provide enough understanding or progress.</w:t>
      </w:r>
    </w:p>
    <w:p w:rsidR="005B6C08" w:rsidRDefault="009D539A">
      <w:r>
        <w:t xml:space="preserve">Slow progress or low attainment does not automatically mean SEN. </w:t>
      </w:r>
      <w:r>
        <w:t>Equally, attainment at an age-expected level does not rule out SEN where a child needs additional or different provision to participate or sustain progress.</w:t>
      </w:r>
    </w:p>
    <w:p w:rsidR="005B6C08" w:rsidRDefault="009D539A">
      <w:pPr>
        <w:pStyle w:val="Heading1"/>
      </w:pPr>
      <w:r>
        <w:t>12  Involving children and families</w:t>
      </w:r>
    </w:p>
    <w:p w:rsidR="005B6C08" w:rsidRDefault="009D539A">
      <w:r>
        <w:t>Families know their children best and are partners in decision-</w:t>
      </w:r>
      <w:r>
        <w:t>making. We begin conversations early, share evidence clearly and agree what success will look like. Parents are informed when SEN Support is considered or put in place and are invited to regular reviews. We explain available options without requiring famil</w:t>
      </w:r>
      <w:r>
        <w:t>ies to understand professional terminology.</w:t>
      </w:r>
    </w:p>
    <w:p w:rsidR="005B6C08" w:rsidRDefault="009D539A">
      <w:r>
        <w:t>Child voice is gathered in ways the child can access, including conversation, play, observation, photographs, symbols, choice-making, communication aids and advocacy from trusted adults. Learning Plans and EHC pl</w:t>
      </w:r>
      <w:r>
        <w:t>an reviews identify strengths, preferences, what helps, what is difficult and the outcomes that matter to the child and family.</w:t>
      </w:r>
    </w:p>
    <w:p w:rsidR="005B6C08" w:rsidRDefault="009D539A">
      <w:pPr>
        <w:pStyle w:val="Heading1"/>
      </w:pPr>
      <w:r>
        <w:lastRenderedPageBreak/>
        <w:t>13  Our approach to teaching and provision</w:t>
      </w:r>
    </w:p>
    <w:p w:rsidR="005B6C08" w:rsidRDefault="009D539A">
      <w:r>
        <w:t>Teachers are responsible and accountable for every child. Support is designed to stre</w:t>
      </w:r>
      <w:r>
        <w:t>ngthen access to the class curriculum and relationships rather than create unnecessary separation. Daily Time to Connect supports pastoral connection, vocabulary pre-teaching, precision teaching, phonics, high-frequency words, reading, Mastering Number and</w:t>
      </w:r>
      <w:r>
        <w:t xml:space="preserve"> Numicon according to need.</w:t>
      </w:r>
    </w:p>
    <w:p w:rsidR="005B6C08" w:rsidRDefault="009D539A">
      <w:pPr>
        <w:pStyle w:val="ListBullet"/>
      </w:pPr>
      <w:r>
        <w:t>Communication-friendly classrooms, clear routines, visual timetables, Widgit, Makaton and total communication.</w:t>
      </w:r>
    </w:p>
    <w:p w:rsidR="005B6C08" w:rsidRDefault="009D539A">
      <w:pPr>
        <w:pStyle w:val="ListBullet"/>
      </w:pPr>
      <w:r>
        <w:t>Explicit instruction, modelling, scaffolding, worked examples, concrete resources, reduced language load and addition</w:t>
      </w:r>
      <w:r>
        <w:t>al processing time.</w:t>
      </w:r>
    </w:p>
    <w:p w:rsidR="005B6C08" w:rsidRDefault="009D539A">
      <w:pPr>
        <w:pStyle w:val="ListBullet"/>
      </w:pPr>
      <w:r>
        <w:t>Careful vocabulary teaching, Colourful Semantics, WellComm, Talk Boost, speech and language programmes and Chatta-informed oracy approaches.</w:t>
      </w:r>
    </w:p>
    <w:p w:rsidR="005B6C08" w:rsidRDefault="009D539A">
      <w:pPr>
        <w:pStyle w:val="ListBullet"/>
      </w:pPr>
      <w:r>
        <w:t xml:space="preserve">Bug Club phonics, teacher-led phonics intervention, reading support, oral composition and </w:t>
      </w:r>
      <w:r>
        <w:t>adapted writing approaches.</w:t>
      </w:r>
    </w:p>
    <w:p w:rsidR="005B6C08" w:rsidRDefault="009D539A">
      <w:pPr>
        <w:pStyle w:val="ListBullet"/>
      </w:pPr>
      <w:r>
        <w:t>Mastering Number, Numicon, manipulatives, stem sentences and precision teaching.</w:t>
      </w:r>
    </w:p>
    <w:p w:rsidR="005B6C08" w:rsidRDefault="009D539A">
      <w:pPr>
        <w:pStyle w:val="ListBullet"/>
      </w:pPr>
      <w:r>
        <w:t>Attention Autism, Intensive Interaction, Helicopter Stories, Story Massage, Six Bricks and Lego Therapy where appropriate.</w:t>
      </w:r>
    </w:p>
    <w:p w:rsidR="005B6C08" w:rsidRDefault="009D539A">
      <w:pPr>
        <w:pStyle w:val="ListBullet"/>
      </w:pPr>
      <w:r>
        <w:t>Zones of Regulation, ELS</w:t>
      </w:r>
      <w:r>
        <w:t>A, nurture, social stories, structured play, animal-assisted work with Jack and restorative relational practice.</w:t>
      </w:r>
    </w:p>
    <w:p w:rsidR="005B6C08" w:rsidRDefault="009D539A">
      <w:pPr>
        <w:pStyle w:val="ListBullet"/>
      </w:pPr>
      <w:r>
        <w:t>Sensory circuits, Gymclusion, Rebound Therapy, Flexi Bounce, movement and physical programmes advised by professionals.</w:t>
      </w:r>
    </w:p>
    <w:p w:rsidR="005B6C08" w:rsidRDefault="009D539A">
      <w:pPr>
        <w:pStyle w:val="ListBullet"/>
      </w:pPr>
      <w:r>
        <w:t>Personal care, feeding,</w:t>
      </w:r>
      <w:r>
        <w:t xml:space="preserve"> medical, physiotherapy, occupational therapy or moving-and-handling arrangements where required.</w:t>
      </w:r>
    </w:p>
    <w:p w:rsidR="005B6C08" w:rsidRDefault="009D539A">
      <w:pPr>
        <w:pStyle w:val="Heading1"/>
      </w:pPr>
      <w:r>
        <w:t>14  Adapting the curriculum and environment</w:t>
      </w:r>
    </w:p>
    <w:p w:rsidR="005B6C08" w:rsidRDefault="009D539A">
      <w:r>
        <w:t xml:space="preserve">The school anticipates barriers and makes reasonable adjustments to teaching, communication, resources, routines, </w:t>
      </w:r>
      <w:r>
        <w:t>assessment, clubs, visits and the physical environment. Adjustments may include accessible seating and positioning, visual or enlarged materials, adapted tools, communication devices, sensory supports, movement breaks, reduced-distraction spaces, alternati</w:t>
      </w:r>
      <w:r>
        <w:t>ve ways to record, additional preparation and individual risk assessment.</w:t>
      </w:r>
    </w:p>
    <w:p w:rsidR="005B6C08" w:rsidRDefault="009D539A">
      <w:r>
        <w:t>Continuous provision from Nursery to Year 2 gives children practical, purposeful opportunities to rehearse and apply learning. Indoor and outdoor provision is planned from curriculum</w:t>
      </w:r>
      <w:r>
        <w:t xml:space="preserve"> intent and adapted without reducing ambition. Staff use working walls, models, concrete resources and accessible success criteria. The Accessibility Plan sets out longer-term improvements to curriculum access, physical access and information.</w:t>
      </w:r>
    </w:p>
    <w:p w:rsidR="005B6C08" w:rsidRDefault="009D539A">
      <w:pPr>
        <w:pStyle w:val="Heading1"/>
      </w:pPr>
      <w:r>
        <w:t>15  Staff ex</w:t>
      </w:r>
      <w:r>
        <w:t>pertise and outside agencies</w:t>
      </w:r>
    </w:p>
    <w:p w:rsidR="005B6C08" w:rsidRDefault="009D539A">
      <w:r>
        <w:t>The Headteacher has substantial SEND leadership experience and is a Team Teach trainer and animal-assisted play therapist. The qualified SENDCo leads practice with the Headteacher, specialist staff, Autism Champions and a train</w:t>
      </w:r>
      <w:r>
        <w:t>ed workforce. Professional development is planned from pupil need, monitoring and staff confidence.</w:t>
      </w:r>
    </w:p>
    <w:p w:rsidR="005B6C08" w:rsidRDefault="009D539A">
      <w:r>
        <w:t>School expertise includes Makaton, Widgit and total communication; autism practice; speech and language programmes; Colourful Semantics; WellComm; Attention</w:t>
      </w:r>
      <w:r>
        <w:t xml:space="preserve"> Autism; Intensive Interaction; Six Bricks; ELSA; nurture; trauma-informed and Solihull practice; Team Teach; sensory and regulation approaches; Rebound Therapy and Flexi Bounce; and curriculum-specific intervention.</w:t>
      </w:r>
    </w:p>
    <w:p w:rsidR="005B6C08" w:rsidRDefault="009D539A">
      <w:r>
        <w:t>We work with relevant services, includi</w:t>
      </w:r>
      <w:r>
        <w:t>ng educational psychology, speech and language therapy, occupational therapy, physiotherapy, paediatrics, School Nursing, Bristol Autism Team, Early Years Inclusion and Portage, sensory support, health and social care, Early Help and voluntary organisation</w:t>
      </w:r>
      <w:r>
        <w:t>s. Referral and involvement are discussed with families unless safeguarding or another legal basis requires action without consent.</w:t>
      </w:r>
    </w:p>
    <w:p w:rsidR="005B6C08" w:rsidRDefault="009D539A">
      <w:pPr>
        <w:pStyle w:val="Heading1"/>
      </w:pPr>
      <w:r>
        <w:lastRenderedPageBreak/>
        <w:t>16  Reviewing progress and evaluating impact</w:t>
      </w:r>
    </w:p>
    <w:p w:rsidR="005B6C08" w:rsidRDefault="009D539A">
      <w:pPr>
        <w:pStyle w:val="ListBullet"/>
      </w:pPr>
      <w:r>
        <w:t>Termly Learning Plan and SEN Support reviews with families and child voice.</w:t>
      </w:r>
    </w:p>
    <w:p w:rsidR="005B6C08" w:rsidRDefault="009D539A">
      <w:pPr>
        <w:pStyle w:val="ListBullet"/>
      </w:pPr>
      <w:r>
        <w:t xml:space="preserve">At </w:t>
      </w:r>
      <w:r>
        <w:t>least annual review of EHC plans, with additional review where needs or provision change.</w:t>
      </w:r>
    </w:p>
    <w:p w:rsidR="005B6C08" w:rsidRDefault="009D539A">
      <w:pPr>
        <w:pStyle w:val="ListBullet"/>
      </w:pPr>
      <w:r>
        <w:t>INSIGHT assessment and provision mapping, Tapestry, work samples and observation.</w:t>
      </w:r>
    </w:p>
    <w:p w:rsidR="005B6C08" w:rsidRDefault="009D539A">
      <w:pPr>
        <w:pStyle w:val="ListBullet"/>
      </w:pPr>
      <w:r>
        <w:t>Monitoring of implementation, attendance, participation, independence, regulation an</w:t>
      </w:r>
      <w:r>
        <w:t>d belonging.</w:t>
      </w:r>
    </w:p>
    <w:p w:rsidR="005B6C08" w:rsidRDefault="009D539A">
      <w:pPr>
        <w:pStyle w:val="ListBullet"/>
      </w:pPr>
      <w:r>
        <w:t>Evaluation of interventions against a baseline, intended outcome and exit or next-step decision.</w:t>
      </w:r>
    </w:p>
    <w:p w:rsidR="005B6C08" w:rsidRDefault="009D539A">
      <w:pPr>
        <w:pStyle w:val="ListBullet"/>
      </w:pPr>
      <w:r>
        <w:t>Pupil progress meetings, SENDCo and subject-leader review, governor scrutiny and case studies.</w:t>
      </w:r>
    </w:p>
    <w:p w:rsidR="005B6C08" w:rsidRDefault="009D539A">
      <w:pPr>
        <w:pStyle w:val="ListBullet"/>
      </w:pPr>
      <w:r>
        <w:t>Parent, child and staff feedback and professional a</w:t>
      </w:r>
      <w:r>
        <w:t>dvice.</w:t>
      </w:r>
    </w:p>
    <w:p w:rsidR="005B6C08" w:rsidRDefault="009D539A">
      <w:r>
        <w:t>Provision is changed when it is not implemented as intended, is not producing the expected benefit, creates dependency or withdrawal from important learning, or when the child’s needs and outcomes change.</w:t>
      </w:r>
    </w:p>
    <w:p w:rsidR="005B6C08" w:rsidRDefault="009D539A">
      <w:pPr>
        <w:pStyle w:val="Heading1"/>
      </w:pPr>
      <w:r>
        <w:t>17  Inclusion emotional development bullying</w:t>
      </w:r>
      <w:r>
        <w:t xml:space="preserve"> and attendance</w:t>
      </w:r>
    </w:p>
    <w:p w:rsidR="005B6C08" w:rsidRDefault="009D539A">
      <w:r>
        <w:t>All children can access the wider life of the school, including clubs, visits, performances, sports day, Forest School, family events, wraparound care and leadership roles, with reasonable adjustments and additional planning where needed. N</w:t>
      </w:r>
      <w:r>
        <w:t>o child is excluded from an opportunity solely because of SEND or disability.</w:t>
      </w:r>
    </w:p>
    <w:p w:rsidR="005B6C08" w:rsidRDefault="009D539A">
      <w:r>
        <w:t>The Nest, ELSA, nurture, Zones of Regulation, Calm Zones, play and social communication work support emotional and social development. Family-style mealtimes and supported play h</w:t>
      </w:r>
      <w:r>
        <w:t>elp children build relationships. Bullying, including prejudice-related and disability-based bullying, is not tolerated and is addressed through the Behaviour and Anti-Bullying arrangements. Safeguarding procedures are followed where harm is suspected.</w:t>
      </w:r>
    </w:p>
    <w:p w:rsidR="005B6C08" w:rsidRDefault="009D539A">
      <w:r>
        <w:t>Att</w:t>
      </w:r>
      <w:r>
        <w:t>endance is monitored carefully for children with SEND. Staff work with families and relevant professionals to understand medical, sensory, anxiety, transport, sleep, care and transition barriers, agree support and help children recover missed learning with</w:t>
      </w:r>
      <w:r>
        <w:t>out blame.</w:t>
      </w:r>
    </w:p>
    <w:p w:rsidR="005B6C08" w:rsidRDefault="009D539A">
      <w:pPr>
        <w:pStyle w:val="Heading1"/>
      </w:pPr>
      <w:r>
        <w:t>18  Supporting transitions</w:t>
      </w:r>
    </w:p>
    <w:p w:rsidR="005B6C08" w:rsidRDefault="009D539A">
      <w:pPr>
        <w:pStyle w:val="ListBullet"/>
      </w:pPr>
      <w:r>
        <w:t>Planned visits, photographs, social stories, visual transition books and opportunities to meet key adults.</w:t>
      </w:r>
    </w:p>
    <w:p w:rsidR="005B6C08" w:rsidRDefault="009D539A">
      <w:pPr>
        <w:pStyle w:val="ListBullet"/>
      </w:pPr>
      <w:r>
        <w:t>Enhanced handover between rooms, year groups, the Inclusion Base and mainstream classes.</w:t>
      </w:r>
    </w:p>
    <w:p w:rsidR="005B6C08" w:rsidRDefault="009D539A">
      <w:pPr>
        <w:pStyle w:val="ListBullet"/>
      </w:pPr>
      <w:r>
        <w:t xml:space="preserve">Early liaison with </w:t>
      </w:r>
      <w:r>
        <w:t>infant-to-junior receiving settings, SENDCos and relevant professionals.</w:t>
      </w:r>
    </w:p>
    <w:p w:rsidR="005B6C08" w:rsidRDefault="009D539A">
      <w:pPr>
        <w:pStyle w:val="ListBullet"/>
      </w:pPr>
      <w:r>
        <w:t>Transfer of current Learning Plans, EHC plan information, care and risk plans, communication profiles, successful strategies and assessment information.</w:t>
      </w:r>
    </w:p>
    <w:p w:rsidR="005B6C08" w:rsidRDefault="009D539A">
      <w:pPr>
        <w:pStyle w:val="ListBullet"/>
      </w:pPr>
      <w:r>
        <w:t>Person-centred transition plan</w:t>
      </w:r>
      <w:r>
        <w:t>ning for children with complex needs, including additional visits and staff-to-staff modelling where helpful.</w:t>
      </w:r>
    </w:p>
    <w:p w:rsidR="005B6C08" w:rsidRDefault="009D539A">
      <w:pPr>
        <w:pStyle w:val="ListBullet"/>
      </w:pPr>
      <w:r>
        <w:t>Family agreement about information sharing, subject to safeguarding and legal requirements.</w:t>
      </w:r>
    </w:p>
    <w:p w:rsidR="005B6C08" w:rsidRDefault="009D539A">
      <w:pPr>
        <w:pStyle w:val="Heading1"/>
      </w:pPr>
      <w:r>
        <w:t>19  Equipment facilities and resource decisions</w:t>
      </w:r>
    </w:p>
    <w:p w:rsidR="005B6C08" w:rsidRDefault="009D539A">
      <w:r>
        <w:t>Delega</w:t>
      </w:r>
      <w:r>
        <w:t>ted SEN funding, notional SEN funding, early years inclusion funding, high-needs funding and the wider school budget are used to meet identified need. Decisions consider statutory provision, safety, intended outcomes, evidence of impact, independence, acce</w:t>
      </w:r>
      <w:r>
        <w:t>ssibility and value for money. Specialist equipment is sourced with professional advice where required and maintained, stored and used safely.</w:t>
      </w:r>
    </w:p>
    <w:p w:rsidR="005B6C08" w:rsidRDefault="009D539A">
      <w:r>
        <w:t>The school has accessible spaces and facilities, including the Inclusion Base, the Nest, Calm Zones and adapted i</w:t>
      </w:r>
      <w:r>
        <w:t>ndoor and outdoor learning areas. Physical access and information access are reviewed through the Accessibility Plan. Families should contact the SENDCo to discuss a specific access need.</w:t>
      </w:r>
    </w:p>
    <w:p w:rsidR="005B6C08" w:rsidRDefault="009D539A">
      <w:pPr>
        <w:pStyle w:val="Heading1"/>
      </w:pPr>
      <w:r>
        <w:t>20  Concerns complaints and independent support</w:t>
      </w:r>
    </w:p>
    <w:p w:rsidR="005B6C08" w:rsidRDefault="009D539A">
      <w:r>
        <w:t>Concerns should usua</w:t>
      </w:r>
      <w:r>
        <w:t>lly be raised first with the class teacher, then the SENDCo and Headteacher. We aim to resolve concerns through early discussion, clear evidence and agreed next steps. Formal complaints follow the school Complaints Policy.</w:t>
      </w:r>
    </w:p>
    <w:p w:rsidR="005B6C08" w:rsidRDefault="009D539A">
      <w:r>
        <w:lastRenderedPageBreak/>
        <w:t xml:space="preserve">Parents of disabled children may </w:t>
      </w:r>
      <w:r>
        <w:t xml:space="preserve">make a disability discrimination claim to the First-tier Tribunal Special Educational Needs and Disability. Disagreement-resolution and mediation services may also be available for EHC assessment and plan matters. Families can seek independent advice from </w:t>
      </w:r>
      <w:r>
        <w:t>SEND and You, the SEND Information Advice and Support Service for Bristol, North Somerset and South Gloucestershire.</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4A0" w:firstRow="1" w:lastRow="0" w:firstColumn="1" w:lastColumn="0" w:noHBand="0" w:noVBand="1"/>
      </w:tblPr>
      <w:tblGrid>
        <w:gridCol w:w="2272"/>
        <w:gridCol w:w="7551"/>
      </w:tblGrid>
      <w:tr w:rsidR="005B6C08">
        <w:trPr>
          <w:cantSplit/>
          <w:tblHeader/>
          <w:jc w:val="center"/>
        </w:trPr>
        <w:tc>
          <w:tcPr>
            <w:tcW w:w="2376" w:type="dxa"/>
            <w:shd w:val="clear" w:color="auto" w:fill="3F6F43"/>
            <w:tcMar>
              <w:top w:w="100" w:type="dxa"/>
              <w:left w:w="110" w:type="dxa"/>
              <w:bottom w:w="100" w:type="dxa"/>
              <w:right w:w="110" w:type="dxa"/>
            </w:tcMar>
            <w:vAlign w:val="center"/>
          </w:tcPr>
          <w:p w:rsidR="005B6C08" w:rsidRDefault="009D539A">
            <w:pPr>
              <w:spacing w:after="0" w:line="250" w:lineRule="auto"/>
            </w:pPr>
            <w:r>
              <w:rPr>
                <w:b/>
                <w:color w:val="FFFFFF"/>
                <w:sz w:val="18"/>
              </w:rPr>
              <w:t>Contact</w:t>
            </w:r>
          </w:p>
        </w:tc>
        <w:tc>
          <w:tcPr>
            <w:tcW w:w="7920" w:type="dxa"/>
            <w:shd w:val="clear" w:color="auto" w:fill="3F6F43"/>
            <w:tcMar>
              <w:top w:w="100" w:type="dxa"/>
              <w:left w:w="110" w:type="dxa"/>
              <w:bottom w:w="100" w:type="dxa"/>
              <w:right w:w="110" w:type="dxa"/>
            </w:tcMar>
            <w:vAlign w:val="center"/>
          </w:tcPr>
          <w:p w:rsidR="005B6C08" w:rsidRDefault="009D539A">
            <w:pPr>
              <w:spacing w:after="0" w:line="250" w:lineRule="auto"/>
            </w:pPr>
            <w:r>
              <w:rPr>
                <w:b/>
                <w:color w:val="FFFFFF"/>
                <w:sz w:val="18"/>
              </w:rPr>
              <w:t>Details</w:t>
            </w:r>
          </w:p>
        </w:tc>
      </w:tr>
      <w:tr w:rsidR="005B6C08">
        <w:trPr>
          <w:cantSplit/>
          <w:jc w:val="center"/>
        </w:trPr>
        <w:tc>
          <w:tcPr>
            <w:tcW w:w="2376"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School SEND concerns</w:t>
            </w:r>
          </w:p>
        </w:tc>
        <w:tc>
          <w:tcPr>
            <w:tcW w:w="7920"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Rebecca Symmons, SENDCo, or Hayley Farthing, Headteacher  •  Broomhill Infant School, Fermaine Avenue</w:t>
            </w:r>
            <w:r>
              <w:rPr>
                <w:sz w:val="18"/>
              </w:rPr>
              <w:t>, Bristol BS4 4UY  •  0117 353 4440  •  head.broomhill.i@bristol-schools.uk</w:t>
            </w:r>
          </w:p>
        </w:tc>
      </w:tr>
      <w:tr w:rsidR="005B6C08">
        <w:trPr>
          <w:cantSplit/>
          <w:jc w:val="center"/>
        </w:trPr>
        <w:tc>
          <w:tcPr>
            <w:tcW w:w="2376"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Bristol SEND Team</w:t>
            </w:r>
          </w:p>
        </w:tc>
        <w:tc>
          <w:tcPr>
            <w:tcW w:w="7920"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0117 922 3700 or the current contact route published through Bristol’s Local Offer</w:t>
            </w:r>
          </w:p>
        </w:tc>
      </w:tr>
      <w:tr w:rsidR="005B6C08">
        <w:trPr>
          <w:cantSplit/>
          <w:jc w:val="center"/>
        </w:trPr>
        <w:tc>
          <w:tcPr>
            <w:tcW w:w="2376"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Bristol Local Offer</w:t>
            </w:r>
          </w:p>
        </w:tc>
        <w:tc>
          <w:tcPr>
            <w:tcW w:w="7920"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https://www.bristol.gov.uk/bristol-local-offer</w:t>
            </w:r>
          </w:p>
        </w:tc>
      </w:tr>
      <w:tr w:rsidR="005B6C08">
        <w:trPr>
          <w:cantSplit/>
          <w:jc w:val="center"/>
        </w:trPr>
        <w:tc>
          <w:tcPr>
            <w:tcW w:w="2376"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 xml:space="preserve">SEND and </w:t>
            </w:r>
            <w:r>
              <w:rPr>
                <w:sz w:val="18"/>
              </w:rPr>
              <w:t>You</w:t>
            </w:r>
          </w:p>
        </w:tc>
        <w:tc>
          <w:tcPr>
            <w:tcW w:w="7920"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8"/>
              </w:rPr>
              <w:t>https://www.sendandyou.org.uk  •  independent SEND information, advice and support</w:t>
            </w:r>
          </w:p>
        </w:tc>
      </w:tr>
      <w:tr w:rsidR="005B6C08">
        <w:trPr>
          <w:cantSplit/>
          <w:jc w:val="center"/>
        </w:trPr>
        <w:tc>
          <w:tcPr>
            <w:tcW w:w="2376"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First tier Tribunal SEND</w:t>
            </w:r>
          </w:p>
        </w:tc>
        <w:tc>
          <w:tcPr>
            <w:tcW w:w="7920"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8"/>
              </w:rPr>
              <w:t>Current guidance and forms are available at GOV.UK</w:t>
            </w:r>
          </w:p>
        </w:tc>
      </w:tr>
    </w:tbl>
    <w:p w:rsidR="005B6C08" w:rsidRDefault="005B6C08">
      <w:pPr>
        <w:spacing w:after="0"/>
      </w:pPr>
    </w:p>
    <w:p w:rsidR="005B6C08" w:rsidRDefault="009D539A">
      <w:pPr>
        <w:pStyle w:val="Heading1"/>
      </w:pPr>
      <w:r>
        <w:t>21  Bristol Local Offer and school contribution</w:t>
      </w:r>
    </w:p>
    <w:p w:rsidR="005B6C08" w:rsidRDefault="009D539A">
      <w:r>
        <w:t xml:space="preserve">Bristol’s Local Offer brings together </w:t>
      </w:r>
      <w:r>
        <w:t>information about education, health, social care, support and services for children and young people with SEND. Broomhill contributes through the provision described in this report, partnership with local services and publication of current school informat</w:t>
      </w:r>
      <w:r>
        <w:t>ion. Families can ask the SENDCo for help to find and understand relevant Local Offer information.</w:t>
      </w:r>
    </w:p>
    <w:p w:rsidR="005B6C08" w:rsidRDefault="009D539A">
      <w:pPr>
        <w:pStyle w:val="Heading1"/>
      </w:pPr>
      <w:r>
        <w:t>Appendix A  Graduated response at a glance</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4A0" w:firstRow="1" w:lastRow="0" w:firstColumn="1" w:lastColumn="0" w:noHBand="0" w:noVBand="1"/>
      </w:tblPr>
      <w:tblGrid>
        <w:gridCol w:w="1805"/>
        <w:gridCol w:w="4445"/>
        <w:gridCol w:w="3573"/>
      </w:tblGrid>
      <w:tr w:rsidR="005B6C08">
        <w:trPr>
          <w:cantSplit/>
          <w:tblHeader/>
          <w:jc w:val="center"/>
        </w:trPr>
        <w:tc>
          <w:tcPr>
            <w:tcW w:w="1872" w:type="dxa"/>
            <w:shd w:val="clear" w:color="auto" w:fill="3F6F43"/>
            <w:tcMar>
              <w:top w:w="100" w:type="dxa"/>
              <w:left w:w="110" w:type="dxa"/>
              <w:bottom w:w="100" w:type="dxa"/>
              <w:right w:w="110" w:type="dxa"/>
            </w:tcMar>
            <w:vAlign w:val="center"/>
          </w:tcPr>
          <w:p w:rsidR="005B6C08" w:rsidRDefault="009D539A">
            <w:pPr>
              <w:spacing w:after="0" w:line="250" w:lineRule="auto"/>
            </w:pPr>
            <w:r>
              <w:rPr>
                <w:b/>
                <w:color w:val="FFFFFF"/>
                <w:sz w:val="18"/>
              </w:rPr>
              <w:t>Level</w:t>
            </w:r>
          </w:p>
        </w:tc>
        <w:tc>
          <w:tcPr>
            <w:tcW w:w="4680" w:type="dxa"/>
            <w:shd w:val="clear" w:color="auto" w:fill="3F6F43"/>
            <w:tcMar>
              <w:top w:w="100" w:type="dxa"/>
              <w:left w:w="110" w:type="dxa"/>
              <w:bottom w:w="100" w:type="dxa"/>
              <w:right w:w="110" w:type="dxa"/>
            </w:tcMar>
            <w:vAlign w:val="center"/>
          </w:tcPr>
          <w:p w:rsidR="005B6C08" w:rsidRDefault="009D539A">
            <w:pPr>
              <w:spacing w:after="0" w:line="250" w:lineRule="auto"/>
            </w:pPr>
            <w:r>
              <w:rPr>
                <w:b/>
                <w:color w:val="FFFFFF"/>
                <w:sz w:val="18"/>
              </w:rPr>
              <w:t>Typical response</w:t>
            </w:r>
          </w:p>
        </w:tc>
        <w:tc>
          <w:tcPr>
            <w:tcW w:w="3744" w:type="dxa"/>
            <w:shd w:val="clear" w:color="auto" w:fill="3F6F43"/>
            <w:tcMar>
              <w:top w:w="100" w:type="dxa"/>
              <w:left w:w="110" w:type="dxa"/>
              <w:bottom w:w="100" w:type="dxa"/>
              <w:right w:w="110" w:type="dxa"/>
            </w:tcMar>
            <w:vAlign w:val="center"/>
          </w:tcPr>
          <w:p w:rsidR="005B6C08" w:rsidRDefault="009D539A">
            <w:pPr>
              <w:spacing w:after="0" w:line="250" w:lineRule="auto"/>
            </w:pPr>
            <w:r>
              <w:rPr>
                <w:b/>
                <w:color w:val="FFFFFF"/>
                <w:sz w:val="18"/>
              </w:rPr>
              <w:t>Review evidence</w:t>
            </w:r>
          </w:p>
        </w:tc>
      </w:tr>
      <w:tr w:rsidR="005B6C08">
        <w:trPr>
          <w:cantSplit/>
          <w:jc w:val="center"/>
        </w:trPr>
        <w:tc>
          <w:tcPr>
            <w:tcW w:w="1872"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7"/>
              </w:rPr>
              <w:t>Universal</w:t>
            </w:r>
          </w:p>
        </w:tc>
        <w:tc>
          <w:tcPr>
            <w:tcW w:w="4680"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7"/>
              </w:rPr>
              <w:t>Inclusive and adaptive teaching; ordinarily available provision;</w:t>
            </w:r>
            <w:r>
              <w:rPr>
                <w:sz w:val="17"/>
              </w:rPr>
              <w:t xml:space="preserve"> communication-friendly environment; reasonable adjustments; strong family partnership.</w:t>
            </w:r>
          </w:p>
        </w:tc>
        <w:tc>
          <w:tcPr>
            <w:tcW w:w="3744"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7"/>
              </w:rPr>
              <w:t>Class assessment, observation, attendance, child and parent voice.</w:t>
            </w:r>
          </w:p>
        </w:tc>
      </w:tr>
      <w:tr w:rsidR="005B6C08">
        <w:trPr>
          <w:cantSplit/>
          <w:jc w:val="center"/>
        </w:trPr>
        <w:tc>
          <w:tcPr>
            <w:tcW w:w="1872"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7"/>
              </w:rPr>
              <w:t>Targeted SEN Support</w:t>
            </w:r>
          </w:p>
        </w:tc>
        <w:tc>
          <w:tcPr>
            <w:tcW w:w="4680"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7"/>
              </w:rPr>
              <w:t xml:space="preserve">Learning Plan with specific outcomes; short, purposeful intervention or </w:t>
            </w:r>
            <w:r>
              <w:rPr>
                <w:sz w:val="17"/>
              </w:rPr>
              <w:t>additional provision; SENDCo advice; provision map; possible external consultation.</w:t>
            </w:r>
          </w:p>
        </w:tc>
        <w:tc>
          <w:tcPr>
            <w:tcW w:w="3744" w:type="dxa"/>
            <w:shd w:val="clear" w:color="auto" w:fill="F2F7F1"/>
            <w:tcMar>
              <w:top w:w="100" w:type="dxa"/>
              <w:left w:w="110" w:type="dxa"/>
              <w:bottom w:w="100" w:type="dxa"/>
              <w:right w:w="110" w:type="dxa"/>
            </w:tcMar>
            <w:vAlign w:val="center"/>
          </w:tcPr>
          <w:p w:rsidR="005B6C08" w:rsidRDefault="009D539A">
            <w:pPr>
              <w:spacing w:after="0" w:line="250" w:lineRule="auto"/>
            </w:pPr>
            <w:r>
              <w:rPr>
                <w:sz w:val="17"/>
              </w:rPr>
              <w:t>Baseline and review measure; implementation check; termly review; next-step decision.</w:t>
            </w:r>
          </w:p>
        </w:tc>
      </w:tr>
      <w:tr w:rsidR="005B6C08">
        <w:trPr>
          <w:cantSplit/>
          <w:jc w:val="center"/>
        </w:trPr>
        <w:tc>
          <w:tcPr>
            <w:tcW w:w="1872"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7"/>
              </w:rPr>
              <w:t>Specialist and statutory</w:t>
            </w:r>
          </w:p>
        </w:tc>
        <w:tc>
          <w:tcPr>
            <w:tcW w:w="4680"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7"/>
              </w:rPr>
              <w:t xml:space="preserve">Multi-agency assessment and advice; highly personalised </w:t>
            </w:r>
            <w:r>
              <w:rPr>
                <w:sz w:val="17"/>
              </w:rPr>
              <w:t>provision; consideration of EHC needs assessment; EHC plan implementation and annual review.</w:t>
            </w:r>
          </w:p>
        </w:tc>
        <w:tc>
          <w:tcPr>
            <w:tcW w:w="3744" w:type="dxa"/>
            <w:shd w:val="clear" w:color="auto" w:fill="FFFFFF"/>
            <w:tcMar>
              <w:top w:w="100" w:type="dxa"/>
              <w:left w:w="110" w:type="dxa"/>
              <w:bottom w:w="100" w:type="dxa"/>
              <w:right w:w="110" w:type="dxa"/>
            </w:tcMar>
            <w:vAlign w:val="center"/>
          </w:tcPr>
          <w:p w:rsidR="005B6C08" w:rsidRDefault="009D539A">
            <w:pPr>
              <w:spacing w:after="0" w:line="250" w:lineRule="auto"/>
            </w:pPr>
            <w:r>
              <w:rPr>
                <w:sz w:val="17"/>
              </w:rPr>
              <w:t>Progress toward EHC outcomes; Section F provision; participation, wellbeing and independence; professional and family evidence.</w:t>
            </w:r>
          </w:p>
        </w:tc>
      </w:tr>
    </w:tbl>
    <w:p w:rsidR="005B6C08" w:rsidRDefault="005B6C08">
      <w:pPr>
        <w:spacing w:after="0"/>
      </w:pPr>
    </w:p>
    <w:p w:rsidR="005B6C08" w:rsidRDefault="009D539A">
      <w:pPr>
        <w:pStyle w:val="Heading1"/>
      </w:pPr>
      <w:r>
        <w:t xml:space="preserve">Appendix B  Provision principles </w:t>
      </w:r>
      <w:r>
        <w:t>at Broomhill</w:t>
      </w:r>
    </w:p>
    <w:p w:rsidR="005B6C08" w:rsidRDefault="009D539A">
      <w:pPr>
        <w:pStyle w:val="ListBullet"/>
      </w:pPr>
      <w:r>
        <w:t>Provision starts with the child’s strengths, communication, relationships and right to belong.</w:t>
      </w:r>
    </w:p>
    <w:p w:rsidR="005B6C08" w:rsidRDefault="009D539A">
      <w:pPr>
        <w:pStyle w:val="ListBullet"/>
      </w:pPr>
      <w:r>
        <w:t>Support is based on assessed need and intended outcome, not a label or diagnosis.</w:t>
      </w:r>
    </w:p>
    <w:p w:rsidR="005B6C08" w:rsidRDefault="009D539A">
      <w:pPr>
        <w:pStyle w:val="ListBullet"/>
      </w:pPr>
      <w:r>
        <w:t xml:space="preserve">Teachers retain responsibility even when another adult or </w:t>
      </w:r>
      <w:r>
        <w:t>professional provides support.</w:t>
      </w:r>
    </w:p>
    <w:p w:rsidR="005B6C08" w:rsidRDefault="009D539A">
      <w:pPr>
        <w:pStyle w:val="ListBullet"/>
      </w:pPr>
      <w:r>
        <w:t>Targeted work is connected to classroom learning and avoids unnecessary withdrawal.</w:t>
      </w:r>
    </w:p>
    <w:p w:rsidR="005B6C08" w:rsidRDefault="009D539A">
      <w:pPr>
        <w:pStyle w:val="ListBullet"/>
      </w:pPr>
      <w:r>
        <w:t>Adults promote independence and fade support where evidence shows this is appropriate.</w:t>
      </w:r>
    </w:p>
    <w:p w:rsidR="005B6C08" w:rsidRDefault="009D539A">
      <w:pPr>
        <w:pStyle w:val="ListBullet"/>
      </w:pPr>
      <w:r>
        <w:t xml:space="preserve">Plans are accessible to the adults who implement them </w:t>
      </w:r>
      <w:r>
        <w:t>and are reviewed with families and children.</w:t>
      </w:r>
    </w:p>
    <w:p w:rsidR="005B6C08" w:rsidRDefault="009D539A">
      <w:pPr>
        <w:pStyle w:val="ListBullet"/>
      </w:pPr>
      <w:r>
        <w:t>The school acts when implementation is inconsistent or impact is limited.</w:t>
      </w:r>
    </w:p>
    <w:p w:rsidR="005B6C08" w:rsidRDefault="009D539A">
      <w:pPr>
        <w:pStyle w:val="ListBullet"/>
      </w:pPr>
      <w:r>
        <w:t>SEND, safeguarding, attendance, medical and wellbeing information are considered together.</w:t>
      </w:r>
    </w:p>
    <w:p w:rsidR="005B6C08" w:rsidRDefault="009D539A">
      <w:pPr>
        <w:pStyle w:val="Heading1"/>
      </w:pPr>
      <w:r>
        <w:t>Appendix C  Key references</w:t>
      </w:r>
    </w:p>
    <w:p w:rsidR="005B6C08" w:rsidRDefault="009D539A">
      <w:pPr>
        <w:pStyle w:val="ListBullet"/>
      </w:pPr>
      <w:r>
        <w:t>Department for Educ</w:t>
      </w:r>
      <w:r>
        <w:t>ation and Department of Health and Social Care  SEND Code of Practice 0 to 25 years.</w:t>
      </w:r>
    </w:p>
    <w:p w:rsidR="005B6C08" w:rsidRDefault="009D539A">
      <w:pPr>
        <w:pStyle w:val="ListBullet"/>
      </w:pPr>
      <w:r>
        <w:t>Children and Families Act 2014.</w:t>
      </w:r>
    </w:p>
    <w:p w:rsidR="005B6C08" w:rsidRDefault="009D539A">
      <w:pPr>
        <w:pStyle w:val="ListBullet"/>
      </w:pPr>
      <w:r>
        <w:lastRenderedPageBreak/>
        <w:t>Special Educational Needs and Disability Regulations 2014.</w:t>
      </w:r>
    </w:p>
    <w:p w:rsidR="005B6C08" w:rsidRDefault="009D539A">
      <w:pPr>
        <w:pStyle w:val="ListBullet"/>
      </w:pPr>
      <w:r>
        <w:t>Equality Act 2010 and guidance for schools.</w:t>
      </w:r>
    </w:p>
    <w:p w:rsidR="005B6C08" w:rsidRDefault="009D539A">
      <w:pPr>
        <w:pStyle w:val="ListBullet"/>
      </w:pPr>
      <w:r>
        <w:t xml:space="preserve">Department for Education  Mandatory </w:t>
      </w:r>
      <w:r>
        <w:t>qualification for SENCOs and SENCO National Professional Qualification guidance.</w:t>
      </w:r>
    </w:p>
    <w:p w:rsidR="005B6C08" w:rsidRDefault="009D539A">
      <w:pPr>
        <w:pStyle w:val="ListBullet"/>
      </w:pPr>
      <w:r>
        <w:t>Early Years Foundation Stage statutory framework.</w:t>
      </w:r>
    </w:p>
    <w:p w:rsidR="005B6C08" w:rsidRDefault="009D539A">
      <w:pPr>
        <w:pStyle w:val="ListBullet"/>
      </w:pPr>
      <w:r>
        <w:t>Keeping Children Safe in Education.</w:t>
      </w:r>
    </w:p>
    <w:p w:rsidR="005B6C08" w:rsidRDefault="009D539A">
      <w:pPr>
        <w:pStyle w:val="ListBullet"/>
      </w:pPr>
      <w:r>
        <w:t>Working Together to Improve School Attendance.</w:t>
      </w:r>
    </w:p>
    <w:p w:rsidR="005B6C08" w:rsidRDefault="009D539A">
      <w:pPr>
        <w:pStyle w:val="ListBullet"/>
      </w:pPr>
      <w:r>
        <w:t>Bristol Local Offer and Bristol Ordinarily</w:t>
      </w:r>
      <w:r>
        <w:t xml:space="preserve"> Available Provision.</w:t>
      </w:r>
    </w:p>
    <w:sectPr w:rsidR="005B6C08" w:rsidSect="00034616">
      <w:footerReference w:type="default" r:id="rId9"/>
      <w:pgSz w:w="11909" w:h="16834"/>
      <w:pgMar w:top="979" w:right="1037" w:bottom="979"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39A" w:rsidRDefault="009D539A">
      <w:pPr>
        <w:spacing w:after="0" w:line="240" w:lineRule="auto"/>
      </w:pPr>
      <w:r>
        <w:separator/>
      </w:r>
    </w:p>
  </w:endnote>
  <w:endnote w:type="continuationSeparator" w:id="0">
    <w:p w:rsidR="009D539A" w:rsidRDefault="009D5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C08" w:rsidRDefault="009D539A">
    <w:pPr>
      <w:pStyle w:val="Footer"/>
      <w:jc w:val="center"/>
    </w:pPr>
    <w:r>
      <w:rPr>
        <w:color w:val="3F6F43"/>
        <w:sz w:val="16"/>
      </w:rPr>
      <w:t xml:space="preserve">Nature  |  Nurture  |  Knowledge        SEND Policy and SEN Information Report        Page </w:t>
    </w:r>
    <w:r>
      <w:fldChar w:fldCharType="begin"/>
    </w:r>
    <w:r>
      <w:instrText>PAGE</w:instrText>
    </w:r>
    <w:r>
      <w:fldChar w:fldCharType="separate"/>
    </w:r>
    <w:r w:rsidR="00692D61">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39A" w:rsidRDefault="009D539A">
      <w:pPr>
        <w:spacing w:after="0" w:line="240" w:lineRule="auto"/>
      </w:pPr>
      <w:r>
        <w:separator/>
      </w:r>
    </w:p>
  </w:footnote>
  <w:footnote w:type="continuationSeparator" w:id="0">
    <w:p w:rsidR="009D539A" w:rsidRDefault="009D53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5B6C08"/>
    <w:rsid w:val="00692D61"/>
    <w:rsid w:val="009D539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683448EE-ABDC-4D33-B791-7334680D6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9" w:lineRule="auto"/>
    </w:pPr>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22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2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line="240" w:lineRule="auto"/>
      <w:contextualSpacing/>
    </w:pPr>
    <w:rPr>
      <w:rFonts w:asciiTheme="majorHAnsi" w:eastAsiaTheme="majorEastAsia" w:hAnsiTheme="majorHAnsi" w:cstheme="majorBidi"/>
      <w: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E3B30-C70F-4F8A-AB52-FDC1A7460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3889</Words>
  <Characters>22169</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Broomhill Infant and Nursery School SEND Policy and SEN Information Report September 2026</vt:lpstr>
    </vt:vector>
  </TitlesOfParts>
  <Manager/>
  <Company/>
  <LinksUpToDate>false</LinksUpToDate>
  <CharactersWithSpaces>26006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Broomhill Infant and Nursery School SEND Policy and SEN Information Report September 2026</dc:title>
  <dc:subject>Special educational needs and disabilities policy and statutory information report</dc:subject>
  <dc:creator>Broomhill Infant and Nursery School</dc:creator>
  <cp:keywords/>
  <dc:description>generated by python-docx</dc:description>
  <cp:lastModifiedBy>Hayley Farthing</cp:lastModifiedBy>
  <cp:revision>2</cp:revision>
  <dcterms:created xsi:type="dcterms:W3CDTF">2026-09-17T14:01:00Z</dcterms:created>
  <dcterms:modified xsi:type="dcterms:W3CDTF">2026-09-17T14:01:00Z</dcterms:modified>
  <cp:category/>
</cp:coreProperties>
</file>